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Ingatlan adásvételi szerződés – váz</w:t>
      </w:r>
      <w:bookmarkEnd w:id="0"/>
    </w:p>
    <w:p>
      <w:pPr/>
      <w:r>
        <w:rPr>
          <w:i w:val="1"/>
          <w:iCs w:val="1"/>
        </w:rPr>
        <w:t xml:space="preserve">Figyelem: az ingatlan adásvételi szerződést ügyvédnek vagy közjegyzőnek kell ellenjegyeznie, különben a tulajdonjog nem jegyezhető be (Inytv.). Ez a váz a tárgyalás előkészítésére és a szerződés tartalmának ellenőrzésére szolgál; a végleges szöveget az ellenjegyző ügyvéd készíti el.</w:t>
      </w:r>
    </w:p>
    <w:p>
      <w:pPr/>
      <w:r>
        <w:rPr/>
        <w:t xml:space="preserve">amely létrejött egyrészről </w:t>
      </w:r>
      <w:r>
        <w:rPr>
          <w:color w:val="555555"/>
        </w:rPr>
        <w:t xml:space="preserve">[eladó neve]</w:t>
      </w:r>
      <w:r>
        <w:rPr/>
        <w:t xml:space="preserve"> (születési név, hely, idő: </w:t>
      </w:r>
      <w:r>
        <w:rPr>
          <w:color w:val="555555"/>
        </w:rPr>
        <w:t xml:space="preserve">[…]</w:t>
      </w:r>
      <w:r>
        <w:rPr/>
        <w:t xml:space="preserve">; anyja neve: </w:t>
      </w:r>
      <w:r>
        <w:rPr>
          <w:color w:val="555555"/>
        </w:rPr>
        <w:t xml:space="preserve">[…]</w:t>
      </w:r>
      <w:r>
        <w:rPr/>
        <w:t xml:space="preserve">; lakcím: </w:t>
      </w:r>
      <w:r>
        <w:rPr>
          <w:color w:val="555555"/>
        </w:rPr>
        <w:t xml:space="preserve">[…]</w:t>
      </w:r>
      <w:r>
        <w:rPr/>
        <w:t xml:space="preserve">; személyi azonosító és adóazonosító jel: </w:t>
      </w:r>
      <w:r>
        <w:rPr>
          <w:color w:val="555555"/>
        </w:rPr>
        <w:t xml:space="preserve">[…]</w:t>
      </w:r>
      <w:r>
        <w:rPr/>
        <w:t xml:space="preserve">) mint eladó,</w:t>
      </w:r>
    </w:p>
    <w:p>
      <w:pPr/>
      <w:r>
        <w:rPr/>
        <w:t xml:space="preserve">másrészről </w:t>
      </w:r>
      <w:r>
        <w:rPr>
          <w:color w:val="555555"/>
        </w:rPr>
        <w:t xml:space="preserve">[vevő neve]</w:t>
      </w:r>
      <w:r>
        <w:rPr/>
        <w:t xml:space="preserve"> (ugyanezen adatok: </w:t>
      </w:r>
      <w:r>
        <w:rPr>
          <w:color w:val="555555"/>
        </w:rPr>
        <w:t xml:space="preserve">[…]</w:t>
      </w:r>
      <w:r>
        <w:rPr/>
        <w:t xml:space="preserve">) mint vevő között az alábbi feltételekkel.</w:t>
      </w:r>
    </w:p>
    <w:p>
      <w:pPr>
        <w:pStyle w:val="Heading2"/>
      </w:pPr>
      <w:bookmarkStart w:id="1" w:name="_Toc1"/>
      <w:r>
        <w:t>1. Az ingatlan</w:t>
      </w:r>
      <w:bookmarkEnd w:id="1"/>
    </w:p>
    <w:p>
      <w:pPr/>
      <w:r>
        <w:rPr/>
        <w:t xml:space="preserve">Az eladó </w:t>
      </w:r>
      <w:r>
        <w:rPr>
          <w:color w:val="555555"/>
        </w:rPr>
        <w:t xml:space="preserve">[1/1]</w:t>
      </w:r>
      <w:r>
        <w:rPr/>
        <w:t xml:space="preserve"> tulajdoni hányadban tulajdonosa a </w:t>
      </w:r>
      <w:r>
        <w:rPr>
          <w:color w:val="555555"/>
        </w:rPr>
        <w:t xml:space="preserve">[település]</w:t>
      </w:r>
      <w:r>
        <w:rPr/>
        <w:t xml:space="preserve"> belterület </w:t>
      </w:r>
      <w:r>
        <w:rPr>
          <w:color w:val="555555"/>
        </w:rPr>
        <w:t xml:space="preserve">[helyrajzi szám]</w:t>
      </w:r>
      <w:r>
        <w:rPr/>
        <w:t xml:space="preserve"> helyrajzi számú, természetben </w:t>
      </w:r>
      <w:r>
        <w:rPr>
          <w:color w:val="555555"/>
        </w:rPr>
        <w:t xml:space="preserve">[cím, emelet, ajtó]</w:t>
      </w:r>
      <w:r>
        <w:rPr/>
        <w:t xml:space="preserve"> alatt található, </w:t>
      </w:r>
      <w:r>
        <w:rPr>
          <w:color w:val="555555"/>
        </w:rPr>
        <w:t xml:space="preserve">[lakás / ház / telek]</w:t>
      </w:r>
      <w:r>
        <w:rPr/>
        <w:t xml:space="preserve"> megnevezésű, </w:t>
      </w:r>
      <w:r>
        <w:rPr>
          <w:color w:val="555555"/>
        </w:rPr>
        <w:t xml:space="preserve">[…]</w:t>
      </w:r>
      <w:r>
        <w:rPr/>
        <w:t xml:space="preserve"> m² alapterületű ingatlannak [társasház esetén: a hozzá tartozó </w:t>
      </w:r>
      <w:r>
        <w:rPr>
          <w:color w:val="555555"/>
        </w:rPr>
        <w:t xml:space="preserve">[…]</w:t>
      </w:r>
      <w:r>
        <w:rPr/>
        <w:t xml:space="preserve">/10 000 eszmei hányaddal a közös tulajdonból]. Az ingatlan tulajdoni lapja szerint: </w:t>
      </w:r>
      <w:r>
        <w:rPr>
          <w:color w:val="555555"/>
        </w:rPr>
        <w:t xml:space="preserve">[tehermentes / az alábbi terhek: jelzálogjog … javára, haszonélvezet, elidegenítési és terhelési tilalom]</w:t>
      </w:r>
      <w:r>
        <w:rPr/>
        <w:t xml:space="preserve">.</w:t>
      </w:r>
    </w:p>
    <w:p>
      <w:pPr>
        <w:pStyle w:val="Heading2"/>
      </w:pPr>
      <w:bookmarkStart w:id="2" w:name="_Toc2"/>
      <w:r>
        <w:t>2. Az adásvétel</w:t>
      </w:r>
      <w:bookmarkEnd w:id="2"/>
    </w:p>
    <w:p>
      <w:pPr/>
      <w:r>
        <w:rPr/>
        <w:t xml:space="preserve">Az eladó eladja, a vevő megvásárolja az 1. pontban körülírt ingatlant a per-, teher- és igénymentesség [a 4. pontban foglalt kivétellel] szavatolása mellett.</w:t>
      </w:r>
    </w:p>
    <w:p>
      <w:pPr>
        <w:pStyle w:val="Heading2"/>
      </w:pPr>
      <w:bookmarkStart w:id="3" w:name="_Toc3"/>
      <w:r>
        <w:t>3. Vételár és fizetés</w:t>
      </w:r>
      <w:bookmarkEnd w:id="3"/>
    </w:p>
    <w:p>
      <w:pPr/>
      <w:r>
        <w:rPr/>
        <w:t xml:space="preserve">A vételár </w:t>
      </w:r>
      <w:r>
        <w:rPr>
          <w:color w:val="555555"/>
          <w:b w:val="1"/>
          <w:bCs w:val="1"/>
        </w:rPr>
        <w:t xml:space="preserve">[…]</w:t>
      </w:r>
      <w:r>
        <w:rPr>
          <w:b w:val="1"/>
          <w:bCs w:val="1"/>
        </w:rPr>
        <w:t xml:space="preserve"> Ft</w:t>
      </w:r>
      <w:r>
        <w:rPr/>
        <w:t xml:space="preserve">, azaz </w:t>
      </w:r>
      <w:r>
        <w:rPr>
          <w:color w:val="555555"/>
        </w:rPr>
        <w:t xml:space="preserve">[betűvel]</w:t>
      </w:r>
      <w:r>
        <w:rPr/>
        <w:t xml:space="preserve"> forint, amelyet a vevő az alábbiak szerint fizet meg:</w:t>
      </w:r>
    </w:p>
    <w:p>
      <w:pPr>
        <w:spacing w:after="60"/>
        <w:numPr>
          <w:ilvl w:val="0"/>
          <w:numId w:val="5"/>
        </w:numPr>
      </w:pPr>
      <w:r>
        <w:rPr>
          <w:b w:val="1"/>
          <w:bCs w:val="1"/>
        </w:rPr>
        <w:t xml:space="preserve">Foglaló:</w:t>
      </w:r>
      <w:r>
        <w:rPr/>
        <w:t xml:space="preserve"> </w:t>
      </w:r>
      <w:r>
        <w:rPr>
          <w:color w:val="555555"/>
        </w:rPr>
        <w:t xml:space="preserve">[…]</w:t>
      </w:r>
      <w:r>
        <w:rPr/>
        <w:t xml:space="preserve"> Ft a szerződés aláírásakor [átutalással / készpénzben]. A felek a foglaló jogkövetkezményeit (Ptk. 6:185. §) ismerik: a teljesítés meghiúsulásáért felelős fél az adott foglalót elveszti, illetve a kapott foglalót kétszeresen köteles visszaadni.</w:t>
      </w:r>
    </w:p>
    <w:p>
      <w:pPr>
        <w:spacing w:after="60"/>
        <w:numPr>
          <w:ilvl w:val="0"/>
          <w:numId w:val="5"/>
        </w:numPr>
      </w:pPr>
      <w:r>
        <w:rPr>
          <w:b w:val="1"/>
          <w:bCs w:val="1"/>
        </w:rPr>
        <w:t xml:space="preserve">Vételárrészlet:</w:t>
      </w:r>
      <w:r>
        <w:rPr/>
        <w:t xml:space="preserve"> </w:t>
      </w:r>
      <w:r>
        <w:rPr>
          <w:color w:val="555555"/>
        </w:rPr>
        <w:t xml:space="preserve">[…]</w:t>
      </w:r>
      <w:r>
        <w:rPr/>
        <w:t xml:space="preserve"> Ft </w:t>
      </w:r>
      <w:r>
        <w:rPr>
          <w:color w:val="555555"/>
        </w:rPr>
        <w:t xml:space="preserve">[év. hó. nap.]</w:t>
      </w:r>
      <w:r>
        <w:rPr/>
        <w:t xml:space="preserve"> napjáig [önerőből / bankhitelből – a hitelintézet folyósítási feltételei szerint].</w:t>
      </w:r>
    </w:p>
    <w:p>
      <w:pPr>
        <w:spacing w:after="60"/>
        <w:numPr>
          <w:ilvl w:val="0"/>
          <w:numId w:val="5"/>
        </w:numPr>
      </w:pPr>
      <w:r>
        <w:rPr>
          <w:b w:val="1"/>
          <w:bCs w:val="1"/>
        </w:rPr>
        <w:t xml:space="preserve">Vételárhátralék:</w:t>
      </w:r>
      <w:r>
        <w:rPr/>
        <w:t xml:space="preserve"> </w:t>
      </w:r>
      <w:r>
        <w:rPr>
          <w:color w:val="555555"/>
        </w:rPr>
        <w:t xml:space="preserve">[…]</w:t>
      </w:r>
      <w:r>
        <w:rPr/>
        <w:t xml:space="preserve"> Ft </w:t>
      </w:r>
      <w:r>
        <w:rPr>
          <w:color w:val="555555"/>
        </w:rPr>
        <w:t xml:space="preserve">[év. hó. nap.]</w:t>
      </w:r>
      <w:r>
        <w:rPr/>
        <w:t xml:space="preserve"> napjáig. A teljes vételár megfizetését az eladó a bejegyzési engedély kiadásával igazolja vissza.</w:t>
      </w:r>
    </w:p>
    <w:p>
      <w:pPr>
        <w:pStyle w:val="Heading2"/>
      </w:pPr>
      <w:bookmarkStart w:id="4" w:name="_Toc4"/>
      <w:r>
        <w:t>4. Terhek rendezése</w:t>
      </w:r>
      <w:bookmarkEnd w:id="4"/>
    </w:p>
    <w:p>
      <w:pPr/>
      <w:r>
        <w:rPr/>
        <w:t xml:space="preserve">[Ha az ingatlant jelzálogjog terheli:] Az eladó a </w:t>
      </w:r>
      <w:r>
        <w:rPr>
          <w:color w:val="555555"/>
        </w:rPr>
        <w:t xml:space="preserve">[hitelintézet]</w:t>
      </w:r>
      <w:r>
        <w:rPr/>
        <w:t xml:space="preserve"> javára bejegyzett jelzálogjoggal biztosított tartozását a vevő által – a hitelintézet igazolása szerinti összegben, közvetlenül a hitelintézetnek – megfizetett vételárrészletből rendezi; a tehermentesítésről szóló törlési engedélyt az eladó szerzi be.</w:t>
      </w:r>
    </w:p>
    <w:p>
      <w:pPr>
        <w:pStyle w:val="Heading2"/>
      </w:pPr>
      <w:bookmarkStart w:id="5" w:name="_Toc5"/>
      <w:r>
        <w:t>5. Tulajdonjog bejegyzése</w:t>
      </w:r>
      <w:bookmarkEnd w:id="5"/>
    </w:p>
    <w:p>
      <w:pPr/>
      <w:r>
        <w:rPr/>
        <w:t xml:space="preserve">Az eladó a teljes vételár megfizetésével egyidejűleg [vagy: ügyvédi letétbe helyezett, a teljes vételár kifizetésekor kiadható] külön nyilatkozatban </w:t>
      </w:r>
      <w:r>
        <w:rPr>
          <w:b w:val="1"/>
          <w:bCs w:val="1"/>
        </w:rPr>
        <w:t xml:space="preserve">feltétlen és visszavonhatatlan hozzájárulását adja</w:t>
      </w:r>
      <w:r>
        <w:rPr/>
        <w:t xml:space="preserve"> ahhoz, hogy a vevő tulajdonjoga vétel jogcímén az ingatlan-nyilvántartásba bejegyzésre kerüljön. A felek kérik a tulajdonjog-fenntartással történt eladás tényének feljegyzését a vételár teljes kiegyenlítéséig [ha ezt alkalmazzák]. Az ellenjegyző ügyvéd a szerződést a földhivatalhoz benyújtja.</w:t>
      </w:r>
    </w:p>
    <w:p>
      <w:pPr>
        <w:pStyle w:val="Heading2"/>
      </w:pPr>
      <w:bookmarkStart w:id="6" w:name="_Toc6"/>
      <w:r>
        <w:t>6. Birtokbaadás</w:t>
      </w:r>
      <w:bookmarkEnd w:id="6"/>
    </w:p>
    <w:p>
      <w:pPr/>
      <w:r>
        <w:rPr/>
        <w:t xml:space="preserve">Az eladó az ingatlant a teljes vételár megfizetését követően, legkésőbb </w:t>
      </w:r>
      <w:r>
        <w:rPr>
          <w:color w:val="555555"/>
        </w:rPr>
        <w:t xml:space="preserve">[év. hó. nap.]</w:t>
      </w:r>
      <w:r>
        <w:rPr/>
        <w:t xml:space="preserve"> napján, kiürített és kitakarított állapotban, a mérőóra-állásokat jegyzőkönyvben rögzítve adja a vevő birtokába. A birtokbaadás napjáig felmerült közüzemi és közös költséget az eladó, azt követően a vevő viseli.</w:t>
      </w:r>
    </w:p>
    <w:p>
      <w:pPr>
        <w:pStyle w:val="Heading2"/>
      </w:pPr>
      <w:bookmarkStart w:id="7" w:name="_Toc7"/>
      <w:r>
        <w:t>7. Költségek, illeték</w:t>
      </w:r>
      <w:bookmarkEnd w:id="7"/>
    </w:p>
    <w:p>
      <w:pPr/>
      <w:r>
        <w:rPr/>
        <w:t xml:space="preserve">Az ügyvédi munkadíjat és a földhivatali eljárás díját </w:t>
      </w:r>
      <w:r>
        <w:rPr>
          <w:color w:val="555555"/>
        </w:rPr>
        <w:t xml:space="preserve">[a vevő]</w:t>
      </w:r>
      <w:r>
        <w:rPr/>
        <w:t xml:space="preserve"> viseli. A visszterhes vagyonszerzési illetéket a vevő fizeti; az eladót terhelő esetleges személyi jövedelemadóval az eladó számol el.</w:t>
      </w:r>
    </w:p>
    <w:p>
      <w:pPr>
        <w:pStyle w:val="Heading2"/>
      </w:pPr>
      <w:bookmarkStart w:id="8" w:name="_Toc8"/>
      <w:r>
        <w:t>8. Nyilatkozatok</w:t>
      </w:r>
      <w:bookmarkEnd w:id="8"/>
    </w:p>
    <w:p>
      <w:pPr>
        <w:spacing w:after="60"/>
        <w:numPr>
          <w:ilvl w:val="0"/>
          <w:numId w:val="4"/>
        </w:numPr>
      </w:pPr>
      <w:r>
        <w:rPr/>
        <w:t xml:space="preserve">Az eladó szavatol azért, hogy az ingatlan per-, teher- és igénymentes [a 4. pont kivételével], harmadik személynek nincs olyan joga, amely a vevő tulajdonszerzését vagy birtoklását akadályozná, és a közüzemi díjak rendezettek.</w:t>
      </w:r>
    </w:p>
    <w:p>
      <w:pPr>
        <w:spacing w:after="60"/>
        <w:numPr>
          <w:ilvl w:val="0"/>
          <w:numId w:val="4"/>
        </w:numPr>
      </w:pPr>
      <w:r>
        <w:rPr/>
        <w:t xml:space="preserve">A vevő az ingatlant megtekintette, annak műszaki állapotát ismeri; az eladó az általa ismert hibákról tájékoztatta: </w:t>
      </w:r>
      <w:r>
        <w:rPr>
          <w:color w:val="555555"/>
        </w:rPr>
        <w:t xml:space="preserve">[…]</w:t>
      </w:r>
      <w:r>
        <w:rPr/>
        <w:t xml:space="preserve">.</w:t>
      </w:r>
    </w:p>
    <w:p>
      <w:pPr>
        <w:spacing w:after="60"/>
        <w:numPr>
          <w:ilvl w:val="0"/>
          <w:numId w:val="4"/>
        </w:numPr>
      </w:pPr>
      <w:r>
        <w:rPr/>
        <w:t xml:space="preserve">A felek kijelentik, hogy magyar állampolgárok / szerződéskötési képességük nem korlátozott; [az eladó házastársa hozzájárul az eladáshoz, ha közös vagyon].</w:t>
      </w:r>
    </w:p>
    <w:p>
      <w:pPr>
        <w:spacing w:after="60"/>
        <w:numPr>
          <w:ilvl w:val="0"/>
          <w:numId w:val="4"/>
        </w:numPr>
      </w:pPr>
      <w:r>
        <w:rPr/>
        <w:t xml:space="preserve">Elővásárlási jog: </w:t>
      </w:r>
      <w:r>
        <w:rPr>
          <w:color w:val="555555"/>
        </w:rPr>
        <w:t xml:space="preserve">[nincs / … javára fennáll, a lemondó nyilatkozat mellékelve]</w:t>
      </w:r>
      <w:r>
        <w:rPr/>
        <w:t xml:space="preserve">.</w:t>
      </w:r>
    </w:p>
    <w:p>
      <w:pPr>
        <w:spacing w:after="60"/>
        <w:numPr>
          <w:ilvl w:val="0"/>
          <w:numId w:val="4"/>
        </w:numPr>
      </w:pPr>
      <w:r>
        <w:rPr/>
        <w:t xml:space="preserve">Energetikai tanúsítvány azonosítója: </w:t>
      </w:r>
      <w:r>
        <w:rPr>
          <w:color w:val="555555"/>
        </w:rPr>
        <w:t xml:space="preserve">[…]</w:t>
      </w:r>
      <w:r>
        <w:rPr/>
        <w:t xml:space="preserve">.</w:t>
      </w:r>
    </w:p>
    <w:p>
      <w:pPr/>
      <w:r>
        <w:rPr/>
        <w:t xml:space="preserve">A felek a szerződést elolvasták, értelmezték, és mint akaratukkal mindenben megegyezőt írják alá. A szerződés </w:t>
      </w:r>
      <w:r>
        <w:rPr>
          <w:color w:val="555555"/>
        </w:rPr>
        <w:t xml:space="preserve">[…]</w:t>
      </w:r>
      <w:r>
        <w:rPr/>
        <w:t xml:space="preserve"> példányban készült.</w:t>
      </w:r>
    </w:p>
    <w:p>
      <w:pPr/>
      <w:r>
        <w:rPr/>
        <w:t xml:space="preserve">Kelt: </w:t>
      </w:r>
      <w:r>
        <w:rPr>
          <w:color w:val="555555"/>
        </w:rPr>
        <w:t xml:space="preserve">[település]</w:t>
      </w:r>
      <w:r>
        <w:rPr/>
        <w:t xml:space="preserve">, </w:t>
      </w:r>
      <w:r>
        <w:rPr>
          <w:color w:val="555555"/>
        </w:rPr>
        <w:t xml:space="preserve">[év. hó. nap.]</w:t>
      </w:r>
    </w:p>
    <w:tbl>
      <w:tblGrid>
        <w:gridCol w:w="4200" w:type="dxa"/>
        <w:gridCol w:w="900" w:type="dxa"/>
        <w:gridCol w:w="4200" w:type="dxa"/>
      </w:tblGrid>
      <w:tblPr>
        <w:tblW w:w="9300" w:type="dxa"/>
        <w:tblLayout w:type="autofit"/>
        <w:tblCellMar>
          <w:top w:w="60" w:type="dxa"/>
          <w:left w:w="60" w:type="dxa"/>
          <w:right w:w="60" w:type="dxa"/>
          <w:bottom w:w="60" w:type="dxa"/>
        </w:tblCellMar>
        <w:tblBorders>
          <w:top w:val="single" w:sz="1" w:color="FFFFFF"/>
          <w:left w:val="single" w:sz="1" w:color="FFFFFF"/>
          <w:right w:val="single" w:sz="1" w:color="FFFFFF"/>
          <w:bottom w:val="single" w:sz="1" w:color="FFFFFF"/>
          <w:insideH w:val="single" w:sz="1" w:color="FFFFFF"/>
          <w:insideV w:val="single" w:sz="1" w:color="FFFFFF"/>
        </w:tblBorders>
      </w:tblPr>
      <w:tr>
        <w:trPr>
          <w:trHeight w:val="700" w:hRule="atLeast"/>
        </w:trPr>
        <w:tc>
          <w:tcPr>
            <w:tcW w:w="4200" w:type="dxa"/>
            <w:noWrap/>
          </w:tcPr>
          <w:p/>
        </w:tc>
        <w:tc>
          <w:tcPr>
            <w:tcW w:w="900" w:type="dxa"/>
            <w:noWrap/>
          </w:tcPr>
          <w:p/>
        </w:tc>
        <w:tc>
          <w:tcPr>
            <w:tcW w:w="4200" w:type="dxa"/>
            <w:noWrap/>
          </w:tcPr>
          <w:p/>
        </w:tc>
      </w:tr>
      <w:tr>
        <w:trPr/>
        <w:tc>
          <w:tcPr>
            <w:tcW w:w="4200" w:type="dxa"/>
            <w:tcBorders>
              <w:top w:val="single" w:sz="8" w:color="333333"/>
            </w:tcBorders>
            <w:noWrap/>
          </w:tcPr>
          <w:p>
            <w:pPr>
              <w:jc w:val="center"/>
              <w:spacing w:before="60" w:after="0"/>
            </w:pPr>
            <w:r>
              <w:rPr>
                <w:sz w:val="20"/>
                <w:szCs w:val="20"/>
              </w:rPr>
              <w:t xml:space="preserve">eladó</w:t>
            </w:r>
          </w:p>
        </w:tc>
        <w:tc>
          <w:tcPr>
            <w:tcW w:w="900" w:type="dxa"/>
            <w:noWrap/>
          </w:tcPr>
          <w:p/>
        </w:tc>
        <w:tc>
          <w:tcPr>
            <w:tcW w:w="4200" w:type="dxa"/>
            <w:tcBorders>
              <w:top w:val="single" w:sz="8" w:color="333333"/>
            </w:tcBorders>
            <w:noWrap/>
          </w:tcPr>
          <w:p>
            <w:pPr>
              <w:jc w:val="center"/>
              <w:spacing w:before="60" w:after="0"/>
            </w:pPr>
            <w:r>
              <w:rPr>
                <w:sz w:val="20"/>
                <w:szCs w:val="20"/>
              </w:rPr>
              <w:t xml:space="preserve">vevő</w:t>
            </w:r>
          </w:p>
        </w:tc>
      </w:tr>
    </w:tbl>
    <w:p>
      <w:pPr>
        <w:spacing w:before="360"/>
      </w:pPr>
      <w:r>
        <w:rPr/>
        <w:t xml:space="preserve">Ellenjegyzem </w:t>
      </w:r>
      <w:r>
        <w:rPr>
          <w:color w:val="555555"/>
        </w:rPr>
        <w:t xml:space="preserve">[település]</w:t>
      </w:r>
      <w:r>
        <w:rPr/>
        <w:t xml:space="preserve">, </w:t>
      </w:r>
      <w:r>
        <w:rPr>
          <w:color w:val="555555"/>
        </w:rPr>
        <w:t xml:space="preserve">[év. hó. nap.]</w:t>
      </w:r>
      <w:r>
        <w:rPr/>
        <w:t xml:space="preserve">: </w:t>
      </w:r>
      <w:r>
        <w:rPr>
          <w:color w:val="555555"/>
        </w:rPr>
        <w:t xml:space="preserve">[ügyvéd neve, kamarai azonosító]</w:t>
      </w:r>
    </w:p>
    <w:sectPr>
      <w:footerReference w:type="default" r:id="rId7"/>
      <w:pgSz w:orient="portrait" w:w="11905.511811023622" w:h="16837.79527559055"/>
      <w:pgMar w:top="1250" w:right="1300" w:bottom="1250" w:left="13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666666"/>
        <w:sz w:val="16"/>
        <w:szCs w:val="16"/>
      </w:rPr>
      <w:t xml:space="preserve">Minta – Jogi Kisokos (jogikisokos.hu). Tájékoztató jellegű, nem jogi tanácsadás; a szögletes zárójelben álló részeket töltsd ki vagy töröld.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ED135FB3"/>
    <w:multiLevelType w:val="multilevel"/>
    <w:lvl w:ilvl="0">
      <w:start w:val="1"/>
      <w:numFmt w:val="bullet"/>
      <w:suff w:val="tab"/>
      <w:lvlText w:val="•"/>
      <w:pPr>
        <w:tabs>
          <w:tab w:val="num"/>
        </w:tabs>
        <w:ind w:left="480" w:hanging="300"/>
      </w:pPr>
      <w:rPr>
        <w:rFonts/>
      </w:rPr>
    </w:lvl>
  </w:abstractNum>
  <w:abstractNum w:abstractNumId="5">
    <w:nsid w:val="AEB7B8EE"/>
    <w:multiLevelType w:val="multilevel"/>
    <w:lvl w:ilvl="0">
      <w:start w:val="1"/>
      <w:numFmt w:val="decimal"/>
      <w:suff w:val="tab"/>
      <w:lvlText w:val="%1."/>
      <w:pPr>
        <w:tabs>
          <w:tab w:val="num"/>
        </w:tabs>
        <w:ind w:left="480" w:hanging="300"/>
      </w:pPr>
      <w:rPr>
        <w:rFonts/>
      </w:rPr>
    </w:lvl>
  </w:abstract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  <w:pPr>
      <w:spacing w:after="120" w:line="276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300"/>
    </w:pPr>
    <w:rPr>
      <w:sz w:val="30"/>
      <w:szCs w:val="30"/>
      <w:b w:val="1"/>
      <w:bCs w:val="1"/>
      <w:smallCaps w:val="0"/>
      <w:caps w:val="1"/>
    </w:rPr>
  </w:style>
  <w:style w:type="paragraph" w:styleId="Heading2">
    <w:link w:val="Heading2Char"/>
    <w:name w:val="heading 2"/>
    <w:basedOn w:val="Normal"/>
    <w:pPr>
      <w:keepNext w:val="1"/>
      <w:spacing w:before="260" w:after="10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2026-08-26T11:42:05+02:00</dcterms:created>
  <dcterms:modified xsi:type="dcterms:W3CDTF">2026-08-26T11:42:05+02:00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