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Munkaszerződés</w:t>
      </w:r>
      <w:bookmarkEnd w:id="0"/>
    </w:p>
    <w:p>
      <w:pPr/>
      <w:r>
        <w:rPr/>
        <w:t xml:space="preserve">amely létrejött egyrészről a </w:t>
      </w:r>
      <w:r>
        <w:rPr>
          <w:color w:val="555555"/>
        </w:rPr>
        <w:t xml:space="preserve">[munkáltató neve]</w:t>
      </w:r>
      <w:r>
        <w:rPr/>
        <w:t xml:space="preserve"> (székhely: </w:t>
      </w:r>
      <w:r>
        <w:rPr>
          <w:color w:val="555555"/>
        </w:rPr>
        <w:t xml:space="preserve">[…]</w:t>
      </w:r>
      <w:r>
        <w:rPr/>
        <w:t xml:space="preserve">, cégjegyzékszám / nyilvántartási szám: </w:t>
      </w:r>
      <w:r>
        <w:rPr>
          <w:color w:val="555555"/>
        </w:rPr>
        <w:t xml:space="preserve">[…]</w:t>
      </w:r>
      <w:r>
        <w:rPr/>
        <w:t xml:space="preserve">, adószám: </w:t>
      </w:r>
      <w:r>
        <w:rPr>
          <w:color w:val="555555"/>
        </w:rPr>
        <w:t xml:space="preserve">[…]</w:t>
      </w:r>
      <w:r>
        <w:rPr/>
        <w:t xml:space="preserve">, képviseli: </w:t>
      </w:r>
      <w:r>
        <w:rPr>
          <w:color w:val="555555"/>
        </w:rPr>
        <w:t xml:space="preserve">[név, beosztás]</w:t>
      </w:r>
      <w:r>
        <w:rPr/>
        <w:t xml:space="preserve">) mint munkáltató (a továbbiakban: Munkáltató),</w:t>
      </w:r>
    </w:p>
    <w:p>
      <w:pPr/>
      <w:r>
        <w:rPr/>
        <w:t xml:space="preserve">másrészről </w:t>
      </w:r>
      <w:r>
        <w:rPr>
          <w:color w:val="555555"/>
        </w:rPr>
        <w:t xml:space="preserve">[munkavállaló teljes neve]</w:t>
      </w:r>
      <w:r>
        <w:rPr/>
        <w:t xml:space="preserve"> (születési név: </w:t>
      </w:r>
      <w:r>
        <w:rPr>
          <w:color w:val="555555"/>
        </w:rPr>
        <w:t xml:space="preserve">[…]</w:t>
      </w:r>
      <w:r>
        <w:rPr/>
        <w:t xml:space="preserve">, születési hely, idő: </w:t>
      </w:r>
      <w:r>
        <w:rPr>
          <w:color w:val="555555"/>
        </w:rPr>
        <w:t xml:space="preserve">[…]</w:t>
      </w:r>
      <w:r>
        <w:rPr/>
        <w:t xml:space="preserve">, anyja neve: </w:t>
      </w:r>
      <w:r>
        <w:rPr>
          <w:color w:val="555555"/>
        </w:rPr>
        <w:t xml:space="preserve">[…]</w:t>
      </w:r>
      <w:r>
        <w:rPr/>
        <w:t xml:space="preserve">, lakcím: </w:t>
      </w:r>
      <w:r>
        <w:rPr>
          <w:color w:val="555555"/>
        </w:rPr>
        <w:t xml:space="preserve">[…]</w:t>
      </w:r>
      <w:r>
        <w:rPr/>
        <w:t xml:space="preserve">, adóazonosító jel: </w:t>
      </w:r>
      <w:r>
        <w:rPr>
          <w:color w:val="555555"/>
        </w:rPr>
        <w:t xml:space="preserve">[…]</w:t>
      </w:r>
      <w:r>
        <w:rPr/>
        <w:t xml:space="preserve">, TAJ-szám: </w:t>
      </w:r>
      <w:r>
        <w:rPr>
          <w:color w:val="555555"/>
        </w:rPr>
        <w:t xml:space="preserve">[…]</w:t>
      </w:r>
      <w:r>
        <w:rPr/>
        <w:t xml:space="preserve">) mint munkavállaló (a továbbiakban: Munkavállaló) között a munka törvénykönyvéről szóló 2012. évi I. törvény (Mt.) alapján, az alábbi feltételekkel.</w:t>
      </w:r>
    </w:p>
    <w:p>
      <w:pPr>
        <w:pStyle w:val="Heading2"/>
      </w:pPr>
      <w:bookmarkStart w:id="1" w:name="_Toc1"/>
      <w:r>
        <w:t>1. A munkaviszony létesítése, kezdete és tartama</w:t>
      </w:r>
      <w:bookmarkEnd w:id="1"/>
    </w:p>
    <w:p>
      <w:pPr/>
      <w:r>
        <w:rPr/>
        <w:t xml:space="preserve">1.1. A Munkáltató a Munkavállalót </w:t>
      </w:r>
      <w:r>
        <w:rPr>
          <w:color w:val="555555"/>
          <w:b w:val="1"/>
          <w:bCs w:val="1"/>
        </w:rPr>
        <w:t xml:space="preserve">[év. hó. nap.]</w:t>
      </w:r>
      <w:r>
        <w:rPr/>
        <w:t xml:space="preserve"> napjától munkaviszony keretében foglalkoztatja. A munkaviszony kezdete a munkába lépés napja (Mt. 48. §).</w:t>
      </w:r>
    </w:p>
    <w:p>
      <w:pPr/>
      <w:r>
        <w:rPr/>
        <w:t xml:space="preserve">1.2. A munkaviszony </w:t>
      </w:r>
      <w:r>
        <w:rPr>
          <w:b w:val="1"/>
          <w:bCs w:val="1"/>
        </w:rPr>
        <w:t xml:space="preserve">határozatlan időre</w:t>
      </w:r>
      <w:r>
        <w:rPr/>
        <w:t xml:space="preserve"> jön létre (Mt. 45. § (2)). [Határozott idő esetén e helyett: A munkaviszony határozott időre, </w:t>
      </w:r>
      <w:r>
        <w:rPr>
          <w:color w:val="555555"/>
        </w:rPr>
        <w:t xml:space="preserve">[év. hó. nap.]</w:t>
      </w:r>
      <w:r>
        <w:rPr/>
        <w:t xml:space="preserve"> napjáig / </w:t>
      </w:r>
      <w:r>
        <w:rPr>
          <w:color w:val="555555"/>
        </w:rPr>
        <w:t xml:space="preserve">[esemény, pl. X. Y. munkavállaló távollétének végéig]</w:t>
      </w:r>
      <w:r>
        <w:rPr/>
        <w:t xml:space="preserve"> jön létre; tartama a meghosszabbításokkal együtt az 5 évet nem haladhatja meg (Mt. 192. §).]</w:t>
      </w:r>
    </w:p>
    <w:p>
      <w:pPr/>
      <w:r>
        <w:rPr/>
        <w:t xml:space="preserve">1.3. A felek a munkaviszony kezdetétől számított </w:t>
      </w:r>
      <w:r>
        <w:rPr>
          <w:color w:val="555555"/>
          <w:b w:val="1"/>
          <w:bCs w:val="1"/>
        </w:rPr>
        <w:t xml:space="preserve">[…]</w:t>
      </w:r>
      <w:r>
        <w:rPr>
          <w:b w:val="1"/>
          <w:bCs w:val="1"/>
        </w:rPr>
        <w:t xml:space="preserve"> hónap</w:t>
      </w:r>
      <w:r>
        <w:rPr/>
        <w:t xml:space="preserve"> [legfeljebb 3 hónap, kollektív szerződés alapján 6] </w:t>
      </w:r>
      <w:r>
        <w:rPr>
          <w:b w:val="1"/>
          <w:bCs w:val="1"/>
        </w:rPr>
        <w:t xml:space="preserve">próbaidőt</w:t>
      </w:r>
      <w:r>
        <w:rPr/>
        <w:t xml:space="preserve"> kötnek ki (Mt. 45. § (5)). A próbaidő alatt a munkaviszonyt bármelyik fél azonnali hatállyal, indokolás nélkül megszüntetheti (Mt. 79. § (1) a)). [Ha nincs próbaidő, e pontot töröld.]</w:t>
      </w:r>
    </w:p>
    <w:p>
      <w:pPr>
        <w:pStyle w:val="Heading2"/>
      </w:pPr>
      <w:bookmarkStart w:id="2" w:name="_Toc2"/>
      <w:r>
        <w:t>2. Munkakör</w:t>
      </w:r>
      <w:bookmarkEnd w:id="2"/>
    </w:p>
    <w:p>
      <w:pPr/>
      <w:r>
        <w:rPr/>
        <w:t xml:space="preserve">2.1. A Munkavállaló munkaköre: </w:t>
      </w:r>
      <w:r>
        <w:rPr>
          <w:color w:val="555555"/>
          <w:b w:val="1"/>
          <w:bCs w:val="1"/>
        </w:rPr>
        <w:t xml:space="preserve">[munkakör megnevezése, pl. könyvelő]</w:t>
      </w:r>
      <w:r>
        <w:rPr/>
        <w:t xml:space="preserve"> (FEOR-szám: </w:t>
      </w:r>
      <w:r>
        <w:rPr>
          <w:color w:val="555555"/>
        </w:rPr>
        <w:t xml:space="preserve">[…]</w:t>
      </w:r>
      <w:r>
        <w:rPr/>
        <w:t xml:space="preserve">).</w:t>
      </w:r>
    </w:p>
    <w:p>
      <w:pPr/>
      <w:r>
        <w:rPr/>
        <w:t xml:space="preserve">2.2. A munkakörbe tartozó feladatokat a jelen szerződés mellékletét képező munkaköri leírás tartalmazza, amelyet a Munkáltató a munkakör keretein belül egyoldalúan is módosíthat. A Munkáltató a Munkavállalót átmenetileg, naptári évenként összesen legfeljebb 44 beosztás szerinti munkanapra vagy 352 órára a munkaszerződéstől eltérő munkakörben, munkahelyen vagy más munkáltatónál is foglalkoztathatja (Mt. 53. §).</w:t>
      </w:r>
    </w:p>
    <w:p>
      <w:pPr/>
      <w:r>
        <w:rPr/>
        <w:t xml:space="preserve">2.3. A munkáltatói jogkört a Munkavállaló felett </w:t>
      </w:r>
      <w:r>
        <w:rPr>
          <w:color w:val="555555"/>
        </w:rPr>
        <w:t xml:space="preserve">[beosztás, pl. az ügyvezető / a területi vezető]</w:t>
      </w:r>
      <w:r>
        <w:rPr/>
        <w:t xml:space="preserve"> gyakorolja.</w:t>
      </w:r>
    </w:p>
    <w:p>
      <w:pPr>
        <w:pStyle w:val="Heading2"/>
      </w:pPr>
      <w:bookmarkStart w:id="3" w:name="_Toc3"/>
      <w:r>
        <w:t>3. Alapbér és egyéb juttatások</w:t>
      </w:r>
      <w:bookmarkEnd w:id="3"/>
    </w:p>
    <w:p>
      <w:pPr/>
      <w:r>
        <w:rPr/>
        <w:t xml:space="preserve">3.1. A Munkavállaló </w:t>
      </w:r>
      <w:r>
        <w:rPr>
          <w:b w:val="1"/>
          <w:bCs w:val="1"/>
        </w:rPr>
        <w:t xml:space="preserve">alapbére</w:t>
      </w:r>
      <w:r>
        <w:rPr/>
        <w:t xml:space="preserve"> havi bruttó </w:t>
      </w:r>
      <w:r>
        <w:rPr>
          <w:color w:val="555555"/>
          <w:b w:val="1"/>
          <w:bCs w:val="1"/>
        </w:rPr>
        <w:t xml:space="preserve">[…]</w:t>
      </w:r>
      <w:r>
        <w:rPr>
          <w:b w:val="1"/>
          <w:bCs w:val="1"/>
        </w:rPr>
        <w:t xml:space="preserve"> Ft</w:t>
      </w:r>
      <w:r>
        <w:rPr/>
        <w:t xml:space="preserve">, azaz </w:t>
      </w:r>
      <w:r>
        <w:rPr>
          <w:color w:val="555555"/>
        </w:rPr>
        <w:t xml:space="preserve">[…]</w:t>
      </w:r>
      <w:r>
        <w:rPr/>
        <w:t xml:space="preserve"> forint (Mt. 45. § (1), 136. §). [Órabér esetén: </w:t>
      </w:r>
      <w:r>
        <w:rPr>
          <w:color w:val="555555"/>
        </w:rPr>
        <w:t xml:space="preserve">[…]</w:t>
      </w:r>
      <w:r>
        <w:rPr/>
        <w:t xml:space="preserve"> Ft/óra.] Az alapbér nem lehet kevesebb a kötelező legkisebb munkabérnél, illetve – a legalább középfokú végzettséget vagy szakképzettséget igénylő munkakörben – a garantált bérminimumnál.</w:t>
      </w:r>
    </w:p>
    <w:p>
      <w:pPr/>
      <w:r>
        <w:rPr/>
        <w:t xml:space="preserve">3.2. A Munkáltató a munkabért havonta utólag, a tárgyhónapot követő hónap </w:t>
      </w:r>
      <w:r>
        <w:rPr>
          <w:color w:val="555555"/>
        </w:rPr>
        <w:t xml:space="preserve">[…]</w:t>
      </w:r>
      <w:r>
        <w:rPr/>
        <w:t xml:space="preserve">. napjáig [legkésőbb 10. napjáig, Mt. 157. §], a Munkavállaló által megjelölt </w:t>
      </w:r>
      <w:r>
        <w:rPr>
          <w:color w:val="555555"/>
        </w:rPr>
        <w:t xml:space="preserve">[…]</w:t>
      </w:r>
      <w:r>
        <w:rPr/>
        <w:t xml:space="preserve"> számú fizetési számlára utalással fizeti meg.</w:t>
      </w:r>
    </w:p>
    <w:p>
      <w:pPr/>
      <w:r>
        <w:rPr/>
        <w:t xml:space="preserve">3.3. Az alapbéren felül a Munkavállalót az alábbi juttatások illetik meg: [a nem alkalmazottakat töröld]</w:t>
      </w:r>
    </w:p>
    <w:p>
      <w:pPr>
        <w:spacing w:after="60"/>
        <w:numPr>
          <w:ilvl w:val="0"/>
          <w:numId w:val="4"/>
        </w:numPr>
      </w:pPr>
      <w:r>
        <w:rPr/>
        <w:t xml:space="preserve">bérpótlékok az Mt. 139–145. §-a szerint (rendkívüli munkaidő, vasárnapi, munkaszüneti napi, műszak-, éjszakai pótlék, készenlét, ügyelet) – [vagy: a felek a </w:t>
      </w:r>
      <w:r>
        <w:rPr>
          <w:color w:val="555555"/>
        </w:rPr>
        <w:t xml:space="preserve">[…]</w:t>
      </w:r>
      <w:r>
        <w:rPr/>
        <w:t xml:space="preserve"> pótlék helyett havi </w:t>
      </w:r>
      <w:r>
        <w:rPr>
          <w:color w:val="555555"/>
        </w:rPr>
        <w:t xml:space="preserve">[…]</w:t>
      </w:r>
      <w:r>
        <w:rPr/>
        <w:t xml:space="preserve"> Ft átalányt állapítanak meg (Mt. 145. §)];</w:t>
      </w:r>
    </w:p>
    <w:p>
      <w:pPr>
        <w:spacing w:after="60"/>
        <w:numPr>
          <w:ilvl w:val="0"/>
          <w:numId w:val="4"/>
        </w:numPr>
      </w:pPr>
      <w:r>
        <w:rPr/>
        <w:t xml:space="preserve">béren kívüli juttatás (cafeteria) a Munkáltató mindenkori szabályzata szerint, éves keret: </w:t>
      </w:r>
      <w:r>
        <w:rPr>
          <w:color w:val="555555"/>
        </w:rPr>
        <w:t xml:space="preserve">[…]</w:t>
      </w:r>
      <w:r>
        <w:rPr/>
        <w:t xml:space="preserve"> Ft;</w:t>
      </w:r>
    </w:p>
    <w:p>
      <w:pPr>
        <w:spacing w:after="60"/>
        <w:numPr>
          <w:ilvl w:val="0"/>
          <w:numId w:val="4"/>
        </w:numPr>
      </w:pPr>
      <w:r>
        <w:rPr/>
        <w:t xml:space="preserve">teljesítménybér / jutalék / bónusz: </w:t>
      </w:r>
      <w:r>
        <w:rPr>
          <w:color w:val="555555"/>
        </w:rPr>
        <w:t xml:space="preserve">[feltételek, mérték, elszámolási időszak]</w:t>
      </w:r>
      <w:r>
        <w:rPr/>
        <w:t xml:space="preserve">;</w:t>
      </w:r>
    </w:p>
    <w:p>
      <w:pPr>
        <w:spacing w:after="60"/>
        <w:numPr>
          <w:ilvl w:val="0"/>
          <w:numId w:val="4"/>
        </w:numPr>
      </w:pPr>
      <w:r>
        <w:rPr/>
        <w:t xml:space="preserve">munkába járás költségtérítése a 39/2010. (II. 26.) Korm. rendelet szerint;</w:t>
      </w:r>
    </w:p>
    <w:p>
      <w:pPr>
        <w:spacing w:after="60"/>
        <w:numPr>
          <w:ilvl w:val="0"/>
          <w:numId w:val="4"/>
        </w:numPr>
      </w:pPr>
      <w:r>
        <w:rPr/>
        <w:t xml:space="preserve">egyéb: </w:t>
      </w:r>
      <w:r>
        <w:rPr>
          <w:color w:val="555555"/>
        </w:rPr>
        <w:t xml:space="preserve">[pl. mobiltelefon, laptop, gépjármű magáncélú használata]</w:t>
      </w:r>
      <w:r>
        <w:rPr/>
        <w:t xml:space="preserve">.</w:t>
      </w:r>
    </w:p>
    <w:p>
      <w:pPr>
        <w:pStyle w:val="Heading2"/>
      </w:pPr>
      <w:bookmarkStart w:id="4" w:name="_Toc4"/>
      <w:r>
        <w:t>4. Munkahely</w:t>
      </w:r>
      <w:bookmarkEnd w:id="4"/>
    </w:p>
    <w:p>
      <w:pPr/>
      <w:r>
        <w:rPr/>
        <w:t xml:space="preserve">4.1. A Munkavállaló munkavégzésének helye: </w:t>
      </w:r>
      <w:r>
        <w:rPr>
          <w:color w:val="555555"/>
          <w:b w:val="1"/>
          <w:bCs w:val="1"/>
        </w:rPr>
        <w:t xml:space="preserve">[pontos cím vagy település]</w:t>
      </w:r>
      <w:r>
        <w:rPr/>
        <w:t xml:space="preserve"> (Mt. 45. § (3)). [Változó munkahely esetén: a Munkáltató </w:t>
      </w:r>
      <w:r>
        <w:rPr>
          <w:color w:val="555555"/>
        </w:rPr>
        <w:t xml:space="preserve">[település / megye]</w:t>
      </w:r>
      <w:r>
        <w:rPr/>
        <w:t xml:space="preserve"> területén lévő telephelyei.]</w:t>
      </w:r>
    </w:p>
    <w:p>
      <w:pPr/>
      <w:r>
        <w:rPr/>
        <w:t xml:space="preserve">4.2. [Választható] A felek megállapodnak, hogy a Munkavállaló a munkaidő </w:t>
      </w:r>
      <w:r>
        <w:rPr>
          <w:color w:val="555555"/>
        </w:rPr>
        <w:t xml:space="preserve">[…]</w:t>
      </w:r>
      <w:r>
        <w:rPr/>
        <w:t xml:space="preserve"> részében / heti </w:t>
      </w:r>
      <w:r>
        <w:rPr>
          <w:color w:val="555555"/>
        </w:rPr>
        <w:t xml:space="preserve">[…]</w:t>
      </w:r>
      <w:r>
        <w:rPr/>
        <w:t xml:space="preserve"> napon távmunkában, a Munkáltató telephelyétől elkülönült helyen végzi munkáját (Mt. 196. §). A távmunkavégzés részletes feltételeit (ellenőrzés, eszközök, költségtérítés) külön megállapodás tartalmazza.</w:t>
      </w:r>
    </w:p>
    <w:p>
      <w:pPr>
        <w:pStyle w:val="Heading2"/>
      </w:pPr>
      <w:bookmarkStart w:id="5" w:name="_Toc5"/>
      <w:r>
        <w:t>5. Munkaidő, munkarend</w:t>
      </w:r>
      <w:bookmarkEnd w:id="5"/>
    </w:p>
    <w:p>
      <w:pPr/>
      <w:r>
        <w:rPr/>
        <w:t xml:space="preserve">5.1. A munkaviszony </w:t>
      </w:r>
      <w:r>
        <w:rPr>
          <w:b w:val="1"/>
          <w:bCs w:val="1"/>
        </w:rPr>
        <w:t xml:space="preserve">teljes munkaidőre</w:t>
      </w:r>
      <w:r>
        <w:rPr/>
        <w:t xml:space="preserve">, napi </w:t>
      </w:r>
      <w:r>
        <w:rPr>
          <w:b w:val="1"/>
          <w:bCs w:val="1"/>
        </w:rPr>
        <w:t xml:space="preserve">8 óra</w:t>
      </w:r>
      <w:r>
        <w:rPr/>
        <w:t xml:space="preserve"> munkaidőre jön létre (Mt. 45. § (4), 92. § (1)). [Részmunkaidő esetén: napi </w:t>
      </w:r>
      <w:r>
        <w:rPr>
          <w:color w:val="555555"/>
        </w:rPr>
        <w:t xml:space="preserve">[…]</w:t>
      </w:r>
      <w:r>
        <w:rPr/>
        <w:t xml:space="preserve"> óra / heti </w:t>
      </w:r>
      <w:r>
        <w:rPr>
          <w:color w:val="555555"/>
        </w:rPr>
        <w:t xml:space="preserve">[…]</w:t>
      </w:r>
      <w:r>
        <w:rPr/>
        <w:t xml:space="preserve"> óra részmunkaidőre.]</w:t>
      </w:r>
    </w:p>
    <w:p>
      <w:pPr/>
      <w:r>
        <w:rPr/>
        <w:t xml:space="preserve">5.2. A munkarend: </w:t>
      </w:r>
      <w:r>
        <w:rPr>
          <w:color w:val="555555"/>
        </w:rPr>
        <w:t xml:space="preserve">[általános munkarend, hétfőtől péntekig 8:00–16:30 óráig / több műszakos / megszakítás nélküli]</w:t>
      </w:r>
      <w:r>
        <w:rPr/>
        <w:t xml:space="preserve">. A Munkáltató a munkaidőt </w:t>
      </w:r>
      <w:r>
        <w:rPr>
          <w:color w:val="555555"/>
        </w:rPr>
        <w:t xml:space="preserve">[…]</w:t>
      </w:r>
      <w:r>
        <w:rPr/>
        <w:t xml:space="preserve"> [legfeljebb 4, kollektív szerződéssel 6 vagy 12] hónapos munkaidőkeretben is meghatározhatja (Mt. 93–94. §). [Választható:] A Munkáltató a munkaidő beosztásának jogát – a munkavégzés önálló megszervezésére tekintettel – a Munkavállaló számára átengedi (kötetlen munkarend, Mt. 96. § (2)).</w:t>
      </w:r>
    </w:p>
    <w:p>
      <w:pPr/>
      <w:r>
        <w:rPr/>
        <w:t xml:space="preserve">5.3. A rendkívüli munkaidő elrendelésére és díjazására az Mt. 107–109. és 143. §-a irányadó; naptári évenként legfeljebb 250 óra rendkívüli munkaidő rendelhető el.</w:t>
      </w:r>
    </w:p>
    <w:p>
      <w:pPr>
        <w:pStyle w:val="Heading2"/>
      </w:pPr>
      <w:bookmarkStart w:id="6" w:name="_Toc6"/>
      <w:r>
        <w:t>6. Szabadság</w:t>
      </w:r>
      <w:bookmarkEnd w:id="6"/>
    </w:p>
    <w:p>
      <w:pPr/>
      <w:r>
        <w:rPr/>
        <w:t xml:space="preserve">6.1. A Munkavállalót évi 20 munkanap alapszabadság és az Mt. 117–120. §-a szerinti pótszabadság (életkor, gyermek, egyéb jogcím) illeti meg; a munkaviszony évközi kezdete vagy megszűnése esetén a szabadság arányos része jár (Mt. 121. §). A szabadság kiadására az Mt. 122–124. §-a irányadó; évente 7 munkanapot a Munkáltató a Munkavállaló kérésének megfelelő időpontban ad ki.</w:t>
      </w:r>
    </w:p>
    <w:p>
      <w:pPr/>
      <w:r>
        <w:rPr/>
        <w:t xml:space="preserve">6.2. [Választható] A Munkáltató a törvényes mértéken felül évi </w:t>
      </w:r>
      <w:r>
        <w:rPr>
          <w:color w:val="555555"/>
        </w:rPr>
        <w:t xml:space="preserve">[…]</w:t>
      </w:r>
      <w:r>
        <w:rPr/>
        <w:t xml:space="preserve"> munkanap többletszabadságot biztosít.</w:t>
      </w:r>
    </w:p>
    <w:p>
      <w:pPr>
        <w:pStyle w:val="Heading2"/>
      </w:pPr>
      <w:bookmarkStart w:id="7" w:name="_Toc7"/>
      <w:r>
        <w:t>7. A munkaviszony megszüntetése</w:t>
      </w:r>
      <w:bookmarkEnd w:id="7"/>
    </w:p>
    <w:p>
      <w:pPr/>
      <w:r>
        <w:rPr/>
        <w:t xml:space="preserve">7.1. A munkaviszony megszüntetésére az Mt. 64–85. §-a irányadó. A felmondási idő 30 nap, amely munkáltatói felmondás esetén a Munkáltatónál munkaviszonyban töltött idő alapján az Mt. 69. § (2) bekezdése szerint meghosszabbodik. [Választható:] A felek a felmondási időt </w:t>
      </w:r>
      <w:r>
        <w:rPr>
          <w:color w:val="555555"/>
        </w:rPr>
        <w:t xml:space="preserve">[…]</w:t>
      </w:r>
      <w:r>
        <w:rPr/>
        <w:t xml:space="preserve"> napban [legfeljebb 6 hónap, Mt. 69. § (3)] állapítják meg; a hosszabb felmondási idő mindkét fél felmondására irányadó.</w:t>
      </w:r>
    </w:p>
    <w:p>
      <w:pPr/>
      <w:r>
        <w:rPr/>
        <w:t xml:space="preserve">7.2. Végkielégítés az Mt. 77. §-a szerint jár. [Választható:] A felek a törvényes mértéken felül </w:t>
      </w:r>
      <w:r>
        <w:rPr>
          <w:color w:val="555555"/>
        </w:rPr>
        <w:t xml:space="preserve">[…]</w:t>
      </w:r>
      <w:r>
        <w:rPr/>
        <w:t xml:space="preserve"> havi távolléti díjnak megfelelő végkielégítésben állapodnak meg.</w:t>
      </w:r>
    </w:p>
    <w:p>
      <w:pPr>
        <w:pStyle w:val="Heading2"/>
      </w:pPr>
      <w:bookmarkStart w:id="8" w:name="_Toc8"/>
      <w:r>
        <w:t>8. A Munkavállaló egyéb kötelezettségei</w:t>
      </w:r>
      <w:bookmarkEnd w:id="8"/>
    </w:p>
    <w:p>
      <w:pPr/>
      <w:r>
        <w:rPr/>
        <w:t xml:space="preserve">8.1. A Munkavállaló a munkaviszony fennállása alatt és annak megszűnése után is köteles megőrizni a Munkáltató üzleti titkait és a munkája során tudomására jutott, a Munkáltató jogos gazdasági érdekét érintő információkat (Mt. 8. § (4)).</w:t>
      </w:r>
    </w:p>
    <w:p>
      <w:pPr/>
      <w:r>
        <w:rPr/>
        <w:t xml:space="preserve">8.2. A Munkavállaló a Munkáltató előzetes írásbeli hozzájárulása nélkül nem létesíthet olyan további jogviszonyt, amely a Munkáltató jogos gazdasági érdekét veszélyezteti (Mt. 8. § (1)). [A Munkáltató a hozzájárulást nem tagadhatja meg, ha a további jogviszony a jogos gazdasági érdeket nem sérti.]</w:t>
      </w:r>
    </w:p>
    <w:p>
      <w:pPr/>
      <w:r>
        <w:rPr/>
        <w:t xml:space="preserve">8.3. [Választható – csak ellenérték fejében érvényes] A felek a munkaviszony megszűnését követő </w:t>
      </w:r>
      <w:r>
        <w:rPr>
          <w:color w:val="555555"/>
        </w:rPr>
        <w:t xml:space="preserve">[…]</w:t>
      </w:r>
      <w:r>
        <w:rPr/>
        <w:t xml:space="preserve"> hónapra [legfeljebb 2 év] versenytilalmi megállapodást kötnek, amelynek ellenértéke az azonos időszakra járó alapbér legalább egyharmada (Mt. 228. §); a részletes feltételeket külön megállapodás tartalmazza.</w:t>
      </w:r>
    </w:p>
    <w:p>
      <w:pPr/>
      <w:r>
        <w:rPr/>
        <w:t xml:space="preserve">8.4. A Munkavállaló a Munkáltató által rendelkezésére bocsátott eszközöket rendeltetésszerűen, a Munkáltató szabályzatai szerint használja, és a munkaviszony megszűnésekor hiánytalanul visszaszolgáltatja.</w:t>
      </w:r>
    </w:p>
    <w:p>
      <w:pPr>
        <w:pStyle w:val="Heading2"/>
      </w:pPr>
      <w:bookmarkStart w:id="9" w:name="_Toc9"/>
      <w:r>
        <w:t>9. Tájékoztatás, adatkezelés, kollektív szerződés</w:t>
      </w:r>
      <w:bookmarkEnd w:id="9"/>
    </w:p>
    <w:p>
      <w:pPr/>
      <w:r>
        <w:rPr/>
        <w:t xml:space="preserve">9.1. A Munkáltató a munkaviszony kezdetétől számított 7 napon belül írásban tájékoztatja a Munkavállalót az Mt. 46. §-ában felsorolt munkafeltételekről (napi munkaidő, bérelszámolás, alapbéren túli juttatások, szabadság, felmondási idő, képzési politika, a közterheket fogadó hatóság neve) mindazon kérdésben, amelyről a jelen szerződés nem rendelkezik.</w:t>
      </w:r>
    </w:p>
    <w:p>
      <w:pPr/>
      <w:r>
        <w:rPr/>
        <w:t xml:space="preserve">9.2. A Munkavállaló személyes adatait a Munkáltató a munkaviszony létesítése, teljesítése és megszüntetése céljából, a Munkáltató adatkezelési tájékoztatója szerint kezeli (Mt. 9–11/A. §), amelyet a Munkavállaló a jelen szerződés aláírásával egyidejűleg megismert.</w:t>
      </w:r>
    </w:p>
    <w:p>
      <w:pPr/>
      <w:r>
        <w:rPr/>
        <w:t xml:space="preserve">9.3. A Munkáltatónál kollektív szerződés </w:t>
      </w:r>
      <w:r>
        <w:rPr>
          <w:color w:val="555555"/>
        </w:rPr>
        <w:t xml:space="preserve">[hatályban van / nincs hatályban]</w:t>
      </w:r>
      <w:r>
        <w:rPr/>
        <w:t xml:space="preserve">. [Ha van:] A kollektív szerződés rendelkezései a munkaviszonyra irányadók; a Munkáltató a szerződést a Munkavállaló számára hozzáférhetővé tette.</w:t>
      </w:r>
    </w:p>
    <w:p>
      <w:pPr>
        <w:pStyle w:val="Heading2"/>
      </w:pPr>
      <w:bookmarkStart w:id="10" w:name="_Toc10"/>
      <w:r>
        <w:t>10. Záró rendelkezések</w:t>
      </w:r>
      <w:bookmarkEnd w:id="10"/>
    </w:p>
    <w:p>
      <w:pPr/>
      <w:r>
        <w:rPr/>
        <w:t xml:space="preserve">10.1. A jelen szerződés csak közös megegyezéssel, írásban módosítható (Mt. 58. §). A szerződés az Mt. rendelkezéseitől – ha a törvény kifejezetten másként nem rendelkezik – csak a Munkavállaló javára térhet el (Mt. 43. §); az ezzel ellentétes kikötés helyébe a törvény rendelkezése lép.</w:t>
      </w:r>
    </w:p>
    <w:p>
      <w:pPr/>
      <w:r>
        <w:rPr/>
        <w:t xml:space="preserve">10.2. A jelen szerződésben nem szabályozott kérdésekben a munka törvénykönyvéről szóló 2012. évi I. törvény, [a kollektív szerződés,] valamint a Munkáltató belső szabályzatai az irányadók.</w:t>
      </w:r>
    </w:p>
    <w:p>
      <w:pPr/>
      <w:r>
        <w:rPr/>
        <w:t xml:space="preserve">10.3. A felek a jelen szerződést elolvasták, megértették, és mint akaratukkal mindenben megegyezőt írják alá. A szerződés két, egymással megegyező eredeti példányban készült, amelyből egy példány a Munkavállalót illeti (Mt. 44. §).</w:t>
      </w:r>
    </w:p>
    <w:p>
      <w:pPr/>
      <w:r>
        <w:rPr/>
        <w:t xml:space="preserve">Mellékletek: 1. munkaköri leírás; 2. az Mt. 46. § szerinti írásbeli tájékoztató; 3. adatkezelési tájékoztató; [4. távmunka-megállapodás; 5. versenytilalmi megállapodás].</w:t>
      </w:r>
    </w:p>
    <w:p>
      <w:pPr/>
      <w:r>
        <w:rPr/>
        <w:t xml:space="preserve">Kelt: </w:t>
      </w:r>
      <w:r>
        <w:rPr>
          <w:color w:val="555555"/>
        </w:rPr>
        <w:t xml:space="preserve">[település]</w:t>
      </w:r>
      <w:r>
        <w:rPr/>
        <w:t xml:space="preserve">, </w:t>
      </w:r>
      <w:r>
        <w:rPr>
          <w:color w:val="555555"/>
        </w:rPr>
        <w:t xml:space="preserve">[év. hó. nap.]</w:t>
      </w:r>
    </w:p>
    <w:tbl>
      <w:tblGrid>
        <w:gridCol w:w="4200" w:type="dxa"/>
        <w:gridCol w:w="900" w:type="dxa"/>
        <w:gridCol w:w="4200" w:type="dxa"/>
      </w:tblGrid>
      <w:tblPr>
        <w:tblW w:w="9300" w:type="dxa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1" w:color="FFFFFF"/>
          <w:left w:val="single" w:sz="1" w:color="FFFFFF"/>
          <w:right w:val="single" w:sz="1" w:color="FFFFFF"/>
          <w:bottom w:val="single" w:sz="1" w:color="FFFFFF"/>
          <w:insideH w:val="single" w:sz="1" w:color="FFFFFF"/>
          <w:insideV w:val="single" w:sz="1" w:color="FFFFFF"/>
        </w:tblBorders>
      </w:tblPr>
      <w:tr>
        <w:trPr>
          <w:trHeight w:val="700" w:hRule="atLeast"/>
        </w:trPr>
        <w:tc>
          <w:tcPr>
            <w:tcW w:w="4200" w:type="dxa"/>
            <w:noWrap/>
          </w:tcPr>
          <w:p/>
        </w:tc>
        <w:tc>
          <w:tcPr>
            <w:tcW w:w="900" w:type="dxa"/>
            <w:noWrap/>
          </w:tcPr>
          <w:p/>
        </w:tc>
        <w:tc>
          <w:tcPr>
            <w:tcW w:w="4200" w:type="dxa"/>
            <w:noWrap/>
          </w:tcPr>
          <w:p/>
        </w:tc>
      </w:tr>
      <w:tr>
        <w:trPr/>
        <w:tc>
          <w:tcPr>
            <w:tcW w:w="4200" w:type="dxa"/>
            <w:tcBorders>
              <w:top w:val="single" w:sz="8" w:color="333333"/>
            </w:tcBorders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>Munkáltató</w:t>
            </w:r>
          </w:p>
        </w:tc>
        <w:tc>
          <w:tcPr>
            <w:tcW w:w="900" w:type="dxa"/>
            <w:noWrap/>
          </w:tcPr>
          <w:p/>
        </w:tc>
        <w:tc>
          <w:tcPr>
            <w:tcW w:w="4200" w:type="dxa"/>
            <w:tcBorders>
              <w:top w:val="single" w:sz="8" w:color="333333"/>
            </w:tcBorders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>Munkavállaló</w:t>
            </w:r>
          </w:p>
        </w:tc>
      </w:tr>
    </w:tbl>
    <w:sectPr>
      <w:footerReference w:type="default" r:id="rId7"/>
      <w:pgSz w:orient="portrait" w:w="11905.511811023622" w:h="16837.79527559055"/>
      <w:pgMar w:top="1250" w:right="1300" w:bottom="1250" w:left="13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666666"/>
        <w:sz w:val="16"/>
        <w:szCs w:val="16"/>
      </w:rPr>
      <w:t xml:space="preserve">Minta – Jogi Kisokos (jogikisokos.hu). Tájékoztató jellegű, nem jogi tanácsadás; a szögletes zárójelben álló részeket töltsd ki vagy töröld.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3A671A3"/>
    <w:multiLevelType w:val="multilevel"/>
    <w:lvl w:ilvl="0">
      <w:start w:val="1"/>
      <w:numFmt w:val="bullet"/>
      <w:suff w:val="tab"/>
      <w:lvlText w:val="•"/>
      <w:pPr>
        <w:tabs>
          <w:tab w:val="num"/>
        </w:tabs>
        <w:ind w:left="480" w:hanging="300"/>
      </w:pPr>
      <w:rPr>
        <w:rFonts/>
      </w:rPr>
    </w:lvl>
  </w:abstractNum>
  <w:abstractNum w:abstractNumId="5">
    <w:nsid w:val="7B0EB498"/>
    <w:multiLevelType w:val="multilevel"/>
    <w:lvl w:ilvl="0">
      <w:start w:val="1"/>
      <w:numFmt w:val="decimal"/>
      <w:suff w:val="tab"/>
      <w:lvlText w:val="%1."/>
      <w:pPr>
        <w:tabs>
          <w:tab w:val="num"/>
        </w:tabs>
        <w:ind w:left="480" w:hanging="300"/>
      </w:pPr>
      <w:rPr>
        <w:rFonts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  <w:pPr>
      <w:spacing w:after="12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300"/>
    </w:pPr>
    <w:rPr>
      <w:sz w:val="30"/>
      <w:szCs w:val="30"/>
      <w:b w:val="1"/>
      <w:bCs w:val="1"/>
      <w:smallCaps w:val="0"/>
      <w:caps w:val="1"/>
    </w:rPr>
  </w:style>
  <w:style w:type="paragraph" w:styleId="Heading2">
    <w:link w:val="Heading2Char"/>
    <w:name w:val="heading 2"/>
    <w:basedOn w:val="Normal"/>
    <w:pPr>
      <w:keepNext w:val="1"/>
      <w:spacing w:before="260" w:after="10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2026-09-02T13:10:19+02:00</dcterms:created>
  <dcterms:modified xsi:type="dcterms:W3CDTF">2026-09-02T13:10:19+02:00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