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Megállapodás a házasság közös megegyezéssel történő felbontásához</w:t>
      </w:r>
      <w:bookmarkEnd w:id="0"/>
    </w:p>
    <w:p>
      <w:pPr/>
      <w:r>
        <w:rPr>
          <w:i w:val="1"/>
          <w:iCs w:val="1"/>
        </w:rPr>
        <w:t xml:space="preserve">A Ptk. 4:21. § (2)–(3) bekezdése szerinti járulékos kérdésekről. A megállapodást a bontóperben a bíróság hagyja jóvá; a keresetlevélhez csatolandó. A szögletes zárójelben álló részeket töltsd ki vagy töröld.</w:t>
      </w:r>
    </w:p>
    <w:p>
      <w:pPr/>
      <w:r>
        <w:rPr/>
        <w:t xml:space="preserve">amely létrejött egyrészről </w:t>
      </w:r>
      <w:r>
        <w:rPr>
          <w:color w:val="555555"/>
        </w:rPr>
        <w:t xml:space="preserve">[feleség neve]</w:t>
      </w:r>
      <w:r>
        <w:rPr/>
        <w:t xml:space="preserve"> (születési név: </w:t>
      </w:r>
      <w:r>
        <w:rPr>
          <w:color w:val="555555"/>
        </w:rPr>
        <w:t xml:space="preserve">[…]</w:t>
      </w:r>
      <w:r>
        <w:rPr/>
        <w:t xml:space="preserve">, születési hely, idő: </w:t>
      </w:r>
      <w:r>
        <w:rPr>
          <w:color w:val="555555"/>
        </w:rPr>
        <w:t xml:space="preserve">[…]</w:t>
      </w:r>
      <w:r>
        <w:rPr/>
        <w:t xml:space="preserve">, anyja neve: </w:t>
      </w:r>
      <w:r>
        <w:rPr>
          <w:color w:val="555555"/>
        </w:rPr>
        <w:t xml:space="preserve">[…]</w:t>
      </w:r>
      <w:r>
        <w:rPr/>
        <w:t xml:space="preserve">, lakcím: </w:t>
      </w:r>
      <w:r>
        <w:rPr>
          <w:color w:val="555555"/>
        </w:rPr>
        <w:t xml:space="preserve">[…]</w:t>
      </w:r>
      <w:r>
        <w:rPr/>
        <w:t xml:space="preserve">),</w:t>
      </w:r>
    </w:p>
    <w:p>
      <w:pPr/>
      <w:r>
        <w:rPr/>
        <w:t xml:space="preserve">másrészről </w:t>
      </w:r>
      <w:r>
        <w:rPr>
          <w:color w:val="555555"/>
        </w:rPr>
        <w:t xml:space="preserve">[férj neve]</w:t>
      </w:r>
      <w:r>
        <w:rPr/>
        <w:t xml:space="preserve"> (születési hely, idő: </w:t>
      </w:r>
      <w:r>
        <w:rPr>
          <w:color w:val="555555"/>
        </w:rPr>
        <w:t xml:space="preserve">[…]</w:t>
      </w:r>
      <w:r>
        <w:rPr/>
        <w:t xml:space="preserve">, anyja neve: </w:t>
      </w:r>
      <w:r>
        <w:rPr>
          <w:color w:val="555555"/>
        </w:rPr>
        <w:t xml:space="preserve">[…]</w:t>
      </w:r>
      <w:r>
        <w:rPr/>
        <w:t xml:space="preserve">, lakcím: </w:t>
      </w:r>
      <w:r>
        <w:rPr>
          <w:color w:val="555555"/>
        </w:rPr>
        <w:t xml:space="preserve">[…]</w:t>
      </w:r>
      <w:r>
        <w:rPr/>
        <w:t xml:space="preserve">) mint házastársak között.</w:t>
      </w:r>
    </w:p>
    <w:p>
      <w:pPr>
        <w:pStyle w:val="Heading2"/>
      </w:pPr>
      <w:bookmarkStart w:id="1" w:name="_Toc1"/>
      <w:r>
        <w:t>1. A házasság és a közös kérelem</w:t>
      </w:r>
      <w:bookmarkEnd w:id="1"/>
    </w:p>
    <w:p>
      <w:pPr/>
      <w:r>
        <w:rPr/>
        <w:t xml:space="preserve">A felek </w:t>
      </w:r>
      <w:r>
        <w:rPr>
          <w:color w:val="555555"/>
        </w:rPr>
        <w:t xml:space="preserve">[év. hó. nap.]</w:t>
      </w:r>
      <w:r>
        <w:rPr/>
        <w:t xml:space="preserve"> napján </w:t>
      </w:r>
      <w:r>
        <w:rPr>
          <w:color w:val="555555"/>
        </w:rPr>
        <w:t xml:space="preserve">[település]</w:t>
      </w:r>
      <w:r>
        <w:rPr/>
        <w:t xml:space="preserve"> anyakönyvvezetője előtt kötöttek házasságot (anyakönyvi folyószám: </w:t>
      </w:r>
      <w:r>
        <w:rPr>
          <w:color w:val="555555"/>
        </w:rPr>
        <w:t xml:space="preserve">[…]</w:t>
      </w:r>
      <w:r>
        <w:rPr/>
        <w:t xml:space="preserve">). A házassági életközösség </w:t>
      </w:r>
      <w:r>
        <w:rPr>
          <w:color w:val="555555"/>
        </w:rPr>
        <w:t xml:space="preserve">[év. hó. nap.]</w:t>
      </w:r>
      <w:r>
        <w:rPr/>
        <w:t xml:space="preserve"> napján megszakadt. A felek egyező akaratnyilvánítással kérik a házasság felbontását (Ptk. 4:21. § (2) bekezdés), és a járulékos kérdésekben az alábbiak szerint állapodnak meg.</w:t>
      </w:r>
    </w:p>
    <w:p>
      <w:pPr/>
      <w:r>
        <w:rPr/>
        <w:t xml:space="preserve">A házasságból származó közös kiskorú gyermek(ek): </w:t>
      </w:r>
      <w:r>
        <w:rPr>
          <w:color w:val="555555"/>
        </w:rPr>
        <w:t xml:space="preserve">[név, születési idő]</w:t>
      </w:r>
      <w:r>
        <w:rPr/>
        <w:t xml:space="preserve">; </w:t>
      </w:r>
      <w:r>
        <w:rPr>
          <w:color w:val="555555"/>
        </w:rPr>
        <w:t xml:space="preserve">[név, születési idő]</w:t>
      </w:r>
      <w:r>
        <w:rPr/>
        <w:t xml:space="preserve">. [Ha nincs közös kiskorú gyermek, a 2–4. pontot töröld.]</w:t>
      </w:r>
    </w:p>
    <w:p>
      <w:pPr>
        <w:pStyle w:val="Heading2"/>
      </w:pPr>
      <w:bookmarkStart w:id="2" w:name="_Toc2"/>
      <w:r>
        <w:t>2. Szülői felügyelet</w:t>
      </w:r>
      <w:bookmarkEnd w:id="2"/>
    </w:p>
    <w:p>
      <w:pPr/>
      <w:r>
        <w:rPr/>
        <w:t xml:space="preserve">[A változat] A felek a közös gyermek(ek) feletti szülői felügyeletet </w:t>
      </w:r>
      <w:r>
        <w:rPr>
          <w:b w:val="1"/>
          <w:bCs w:val="1"/>
        </w:rPr>
        <w:t xml:space="preserve">közösen</w:t>
      </w:r>
      <w:r>
        <w:rPr/>
        <w:t xml:space="preserve"> gyakorolják (Ptk. 4:164. §). A gyermek(ek) lakóhelye: </w:t>
      </w:r>
      <w:r>
        <w:rPr>
          <w:color w:val="555555"/>
        </w:rPr>
        <w:t xml:space="preserve">[a szülő neve és lakcíme]</w:t>
      </w:r>
      <w:r>
        <w:rPr/>
        <w:t xml:space="preserve">. A gyermek(ek) sorsát érintő lényeges kérdésekben (név, iskola, tartózkodási hely, egészségügyi ellátás) a felek közösen döntenek.</w:t>
      </w:r>
    </w:p>
    <w:p>
      <w:pPr/>
      <w:r>
        <w:rPr/>
        <w:t xml:space="preserve">[B változat] A szülői felügyeletet a gyermek(ek) felett </w:t>
      </w:r>
      <w:r>
        <w:rPr>
          <w:color w:val="555555"/>
        </w:rPr>
        <w:t xml:space="preserve">[a szülő neve]</w:t>
      </w:r>
      <w:r>
        <w:rPr/>
        <w:t xml:space="preserve"> </w:t>
      </w:r>
      <w:r>
        <w:rPr>
          <w:b w:val="1"/>
          <w:bCs w:val="1"/>
        </w:rPr>
        <w:t xml:space="preserve">kizárólagosan</w:t>
      </w:r>
      <w:r>
        <w:rPr/>
        <w:t xml:space="preserve"> gyakorolja; a különélő szülő a gyermek sorsát érintő lényeges kérdésekben (Ptk. 4:175. §) a felügyeletet gyakorló szülővel együtt dönt. [A nem kívánt változatot töröld.]</w:t>
      </w:r>
    </w:p>
    <w:p>
      <w:pPr/>
      <w:r>
        <w:rPr/>
        <w:t xml:space="preserve">[C változat] A felek </w:t>
      </w:r>
      <w:r>
        <w:rPr>
          <w:b w:val="1"/>
          <w:bCs w:val="1"/>
        </w:rPr>
        <w:t xml:space="preserve">váltott gondoskodásban</w:t>
      </w:r>
      <w:r>
        <w:rPr/>
        <w:t xml:space="preserve"> állapodnak meg: a gyermek(ek) felváltva, </w:t>
      </w:r>
      <w:r>
        <w:rPr>
          <w:color w:val="555555"/>
        </w:rPr>
        <w:t xml:space="preserve">[heti / kétheti]</w:t>
      </w:r>
      <w:r>
        <w:rPr/>
        <w:t xml:space="preserve"> váltással </w:t>
      </w:r>
      <w:r>
        <w:rPr>
          <w:color w:val="555555"/>
        </w:rPr>
        <w:t xml:space="preserve">[…]</w:t>
      </w:r>
      <w:r>
        <w:rPr/>
        <w:t xml:space="preserve">-tól </w:t>
      </w:r>
      <w:r>
        <w:rPr>
          <w:color w:val="555555"/>
        </w:rPr>
        <w:t xml:space="preserve">[…]</w:t>
      </w:r>
      <w:r>
        <w:rPr/>
        <w:t xml:space="preserve">-ig az egyik, ezt követően a másik szülő háztartásában él(nek).</w:t>
      </w:r>
    </w:p>
    <w:p>
      <w:pPr>
        <w:pStyle w:val="Heading2"/>
      </w:pPr>
      <w:bookmarkStart w:id="3" w:name="_Toc3"/>
      <w:r>
        <w:t>3. Kapcsolattartás</w:t>
      </w:r>
      <w:bookmarkEnd w:id="3"/>
    </w:p>
    <w:p>
      <w:pPr/>
      <w:r>
        <w:rPr/>
        <w:t xml:space="preserve">A különélő szülő, </w:t>
      </w:r>
      <w:r>
        <w:rPr>
          <w:color w:val="555555"/>
        </w:rPr>
        <w:t xml:space="preserve">[név]</w:t>
      </w:r>
      <w:r>
        <w:rPr/>
        <w:t xml:space="preserve"> a gyermek(ek)kel az alábbiak szerint tart kapcsolatot:</w:t>
      </w:r>
    </w:p>
    <w:p>
      <w:pPr>
        <w:spacing w:after="60"/>
        <w:numPr>
          <w:ilvl w:val="0"/>
          <w:numId w:val="4"/>
        </w:numPr>
      </w:pPr>
      <w:r>
        <w:rPr>
          <w:b w:val="1"/>
          <w:bCs w:val="1"/>
        </w:rPr>
        <w:t xml:space="preserve">Folyamatos kapcsolattartás:</w:t>
      </w:r>
      <w:r>
        <w:rPr/>
        <w:t xml:space="preserve"> minden </w:t>
      </w:r>
      <w:r>
        <w:rPr>
          <w:color w:val="555555"/>
        </w:rPr>
        <w:t xml:space="preserve">[páros / páratlan]</w:t>
      </w:r>
      <w:r>
        <w:rPr/>
        <w:t xml:space="preserve"> héten </w:t>
      </w:r>
      <w:r>
        <w:rPr>
          <w:color w:val="555555"/>
        </w:rPr>
        <w:t xml:space="preserve">[péntek …] órától [vasárnap …] óráig</w:t>
      </w:r>
      <w:r>
        <w:rPr/>
        <w:t xml:space="preserve">, valamint </w:t>
      </w:r>
      <w:r>
        <w:rPr>
          <w:color w:val="555555"/>
        </w:rPr>
        <w:t xml:space="preserve">[a köztes héten szerdán … órától … óráig]</w:t>
      </w:r>
      <w:r>
        <w:rPr/>
        <w:t xml:space="preserve">.</w:t>
      </w:r>
    </w:p>
    <w:p>
      <w:pPr>
        <w:spacing w:after="60"/>
        <w:numPr>
          <w:ilvl w:val="0"/>
          <w:numId w:val="4"/>
        </w:numPr>
      </w:pPr>
      <w:r>
        <w:rPr>
          <w:b w:val="1"/>
          <w:bCs w:val="1"/>
        </w:rPr>
        <w:t xml:space="preserve">Időszakos kapcsolattartás:</w:t>
      </w:r>
      <w:r>
        <w:rPr/>
        <w:t xml:space="preserve"> a nyári szünetben </w:t>
      </w:r>
      <w:r>
        <w:rPr>
          <w:color w:val="555555"/>
        </w:rPr>
        <w:t xml:space="preserve">[… hét]</w:t>
      </w:r>
      <w:r>
        <w:rPr/>
        <w:t xml:space="preserve">, </w:t>
      </w:r>
      <w:r>
        <w:rPr>
          <w:color w:val="555555"/>
        </w:rPr>
        <w:t xml:space="preserve">[év. hó. nap.-tól év. hó. nap.-ig]</w:t>
      </w:r>
      <w:r>
        <w:rPr/>
        <w:t xml:space="preserve">; a téli és tavaszi szünet </w:t>
      </w:r>
      <w:r>
        <w:rPr>
          <w:color w:val="555555"/>
        </w:rPr>
        <w:t xml:space="preserve">[első / második]</w:t>
      </w:r>
      <w:r>
        <w:rPr/>
        <w:t xml:space="preserve"> felében; a karácsonyi ünnepek </w:t>
      </w:r>
      <w:r>
        <w:rPr>
          <w:color w:val="555555"/>
        </w:rPr>
        <w:t xml:space="preserve">[páros évben … / páratlan évben …]</w:t>
      </w:r>
      <w:r>
        <w:rPr/>
        <w:t xml:space="preserve">; a gyermek születésnapján </w:t>
      </w:r>
      <w:r>
        <w:rPr>
          <w:color w:val="555555"/>
        </w:rPr>
        <w:t xml:space="preserve">[…]</w:t>
      </w:r>
      <w:r>
        <w:rPr/>
        <w:t xml:space="preserve">.</w:t>
      </w:r>
    </w:p>
    <w:p>
      <w:pPr>
        <w:spacing w:after="60"/>
        <w:numPr>
          <w:ilvl w:val="0"/>
          <w:numId w:val="4"/>
        </w:numPr>
      </w:pPr>
      <w:r>
        <w:rPr>
          <w:b w:val="1"/>
          <w:bCs w:val="1"/>
        </w:rPr>
        <w:t xml:space="preserve">Átadás-átvétel helye:</w:t>
      </w:r>
      <w:r>
        <w:rPr/>
        <w:t xml:space="preserve"> </w:t>
      </w:r>
      <w:r>
        <w:rPr>
          <w:color w:val="555555"/>
        </w:rPr>
        <w:t xml:space="preserve">[a gyermek lakóhelye / óvoda, iskola]</w:t>
      </w:r>
      <w:r>
        <w:rPr/>
        <w:t xml:space="preserve">; a gyermeket a kapcsolattartásra jogosult szülő viszi el és hozza vissza.</w:t>
      </w:r>
    </w:p>
    <w:p>
      <w:pPr>
        <w:spacing w:after="60"/>
        <w:numPr>
          <w:ilvl w:val="0"/>
          <w:numId w:val="4"/>
        </w:numPr>
      </w:pPr>
      <w:r>
        <w:rPr>
          <w:b w:val="1"/>
          <w:bCs w:val="1"/>
        </w:rPr>
        <w:t xml:space="preserve">Elmaradt kapcsolattartás:</w:t>
      </w:r>
      <w:r>
        <w:rPr/>
        <w:t xml:space="preserve"> a gyermek betegsége vagy más ok miatt elmaradt kapcsolattartást a felek </w:t>
      </w:r>
      <w:r>
        <w:rPr>
          <w:color w:val="555555"/>
        </w:rPr>
        <w:t xml:space="preserve">[a következő két hétben]</w:t>
      </w:r>
      <w:r>
        <w:rPr/>
        <w:t xml:space="preserve"> pótolják.</w:t>
      </w:r>
    </w:p>
    <w:p>
      <w:pPr>
        <w:spacing w:after="60"/>
        <w:numPr>
          <w:ilvl w:val="0"/>
          <w:numId w:val="4"/>
        </w:numPr>
      </w:pPr>
      <w:r>
        <w:rPr/>
        <w:t xml:space="preserve">A felek a gyermek(ek)kel való telefonos, videóhívásos kapcsolattartást </w:t>
      </w:r>
      <w:r>
        <w:rPr>
          <w:color w:val="555555"/>
        </w:rPr>
        <w:t xml:space="preserve">[naponta … óra körül]</w:t>
      </w:r>
      <w:r>
        <w:rPr/>
        <w:t xml:space="preserve"> biztosítják.</w:t>
      </w:r>
    </w:p>
    <w:p>
      <w:pPr>
        <w:pStyle w:val="Heading2"/>
      </w:pPr>
      <w:bookmarkStart w:id="4" w:name="_Toc4"/>
      <w:r>
        <w:t>4. Gyermektartásdíj</w:t>
      </w:r>
      <w:bookmarkEnd w:id="4"/>
    </w:p>
    <w:p>
      <w:pPr/>
      <w:r>
        <w:rPr>
          <w:color w:val="555555"/>
        </w:rPr>
        <w:t xml:space="preserve">[a különélő szülő neve]</w:t>
      </w:r>
      <w:r>
        <w:rPr/>
        <w:t xml:space="preserve"> a gyermek(ek) tartására havonta, gyermekenként </w:t>
      </w:r>
      <w:r>
        <w:rPr>
          <w:color w:val="555555"/>
          <w:b w:val="1"/>
          <w:bCs w:val="1"/>
        </w:rPr>
        <w:t xml:space="preserve">[…]</w:t>
      </w:r>
      <w:r>
        <w:rPr>
          <w:b w:val="1"/>
          <w:bCs w:val="1"/>
        </w:rPr>
        <w:t xml:space="preserve"> Ft</w:t>
      </w:r>
      <w:r>
        <w:rPr/>
        <w:t xml:space="preserve">, összesen </w:t>
      </w:r>
      <w:r>
        <w:rPr>
          <w:color w:val="555555"/>
        </w:rPr>
        <w:t xml:space="preserve">[…]</w:t>
      </w:r>
      <w:r>
        <w:rPr/>
        <w:t xml:space="preserve"> Ft tartásdíjat fizet </w:t>
      </w:r>
      <w:r>
        <w:rPr>
          <w:color w:val="555555"/>
        </w:rPr>
        <w:t xml:space="preserve">[a gondozó szülő neve]</w:t>
      </w:r>
      <w:r>
        <w:rPr/>
        <w:t xml:space="preserve"> részére, minden hónap </w:t>
      </w:r>
      <w:r>
        <w:rPr>
          <w:color w:val="555555"/>
        </w:rPr>
        <w:t xml:space="preserve">[10.]</w:t>
      </w:r>
      <w:r>
        <w:rPr/>
        <w:t xml:space="preserve"> napjáig előre, a </w:t>
      </w:r>
      <w:r>
        <w:rPr>
          <w:color w:val="555555"/>
        </w:rPr>
        <w:t xml:space="preserve">[bankszámlaszám]</w:t>
      </w:r>
      <w:r>
        <w:rPr/>
        <w:t xml:space="preserve"> számlára. A tartásdíj összege minden év február 1. napjától – külön intézkedés nélkül – a KSH által az előző évre közzétett éves átlagos fogyasztói árindex növekedésének mértékével módosul (Ptk. 4:207. §). A gyermek rendkívüli, indokolt kiadásait (tartós gyógykezelés, iskolai tábor, nagyobb értékű tanszer) a felek </w:t>
      </w:r>
      <w:r>
        <w:rPr>
          <w:color w:val="555555"/>
        </w:rPr>
        <w:t xml:space="preserve">[fele-fele arányban / … %-ban]</w:t>
      </w:r>
      <w:r>
        <w:rPr/>
        <w:t xml:space="preserve"> viselik. A családi pótlékot és a családi adókedvezményt </w:t>
      </w:r>
      <w:r>
        <w:rPr>
          <w:color w:val="555555"/>
        </w:rPr>
        <w:t xml:space="preserve">[a gondozó szülő]</w:t>
      </w:r>
      <w:r>
        <w:rPr/>
        <w:t xml:space="preserve"> veszi igénybe.</w:t>
      </w:r>
    </w:p>
    <w:p>
      <w:pPr>
        <w:pStyle w:val="Heading2"/>
      </w:pPr>
      <w:bookmarkStart w:id="5" w:name="_Toc5"/>
      <w:r>
        <w:t>5. A házastársi közös lakás használata</w:t>
      </w:r>
      <w:bookmarkEnd w:id="5"/>
    </w:p>
    <w:p>
      <w:pPr/>
      <w:r>
        <w:rPr/>
        <w:t xml:space="preserve">A felek utolsó közös lakása: </w:t>
      </w:r>
      <w:r>
        <w:rPr>
          <w:color w:val="555555"/>
        </w:rPr>
        <w:t xml:space="preserve">[cím, helyrajzi szám]</w:t>
      </w:r>
      <w:r>
        <w:rPr/>
        <w:t xml:space="preserve">, amely </w:t>
      </w:r>
      <w:r>
        <w:rPr>
          <w:color w:val="555555"/>
        </w:rPr>
        <w:t xml:space="preserve">[a felek közös tulajdona / … kizárólagos tulajdona / … bérleménye]</w:t>
      </w:r>
      <w:r>
        <w:rPr/>
        <w:t xml:space="preserve">. A lakást a házasság felbontása után </w:t>
      </w:r>
      <w:r>
        <w:rPr>
          <w:color w:val="555555"/>
        </w:rPr>
        <w:t xml:space="preserve">[név]</w:t>
      </w:r>
      <w:r>
        <w:rPr/>
        <w:t xml:space="preserve"> használja </w:t>
      </w:r>
      <w:r>
        <w:rPr>
          <w:color w:val="555555"/>
        </w:rPr>
        <w:t xml:space="preserve">[a gyermek(ek)kel együtt]</w:t>
      </w:r>
      <w:r>
        <w:rPr/>
        <w:t xml:space="preserve"> (Ptk. 4:78. §). </w:t>
      </w:r>
      <w:r>
        <w:rPr>
          <w:color w:val="555555"/>
        </w:rPr>
        <w:t xml:space="preserve">[A másik fél neve]</w:t>
      </w:r>
      <w:r>
        <w:rPr/>
        <w:t xml:space="preserve"> a lakást </w:t>
      </w:r>
      <w:r>
        <w:rPr>
          <w:color w:val="555555"/>
        </w:rPr>
        <w:t xml:space="preserve">[év. hó. nap.]</w:t>
      </w:r>
      <w:r>
        <w:rPr/>
        <w:t xml:space="preserve"> napjáig elhagyja, és a lakáshasználati joga </w:t>
      </w:r>
      <w:r>
        <w:rPr>
          <w:color w:val="555555"/>
        </w:rPr>
        <w:t xml:space="preserve">[ellenérték nélkül / … Ft ellenérték fejében]</w:t>
      </w:r>
      <w:r>
        <w:rPr/>
        <w:t xml:space="preserve"> megszűnik. A lakás közüzemi és közös költségeit a birtokbaadástól a használó fél viseli.</w:t>
      </w:r>
    </w:p>
    <w:p>
      <w:pPr>
        <w:pStyle w:val="Heading2"/>
      </w:pPr>
      <w:bookmarkStart w:id="6" w:name="_Toc6"/>
      <w:r>
        <w:t>6. Házastársi tartás</w:t>
      </w:r>
      <w:bookmarkEnd w:id="6"/>
    </w:p>
    <w:p>
      <w:pPr/>
      <w:r>
        <w:rPr/>
        <w:t xml:space="preserve">[A változat] A felek kijelentik, hogy egymással szemben házastársi tartási igényt nem támasztanak, mindketten képesek magukat eltartani.</w:t>
      </w:r>
    </w:p>
    <w:p>
      <w:pPr/>
      <w:r>
        <w:rPr/>
        <w:t xml:space="preserve">[B változat] </w:t>
      </w:r>
      <w:r>
        <w:rPr>
          <w:color w:val="555555"/>
        </w:rPr>
        <w:t xml:space="preserve">[név]</w:t>
      </w:r>
      <w:r>
        <w:rPr/>
        <w:t xml:space="preserve"> </w:t>
      </w:r>
      <w:r>
        <w:rPr>
          <w:color w:val="555555"/>
        </w:rPr>
        <w:t xml:space="preserve">[név]</w:t>
      </w:r>
      <w:r>
        <w:rPr/>
        <w:t xml:space="preserve"> részére </w:t>
      </w:r>
      <w:r>
        <w:rPr>
          <w:color w:val="555555"/>
        </w:rPr>
        <w:t xml:space="preserve">[év. hó. nap.]</w:t>
      </w:r>
      <w:r>
        <w:rPr/>
        <w:t xml:space="preserve">-tól </w:t>
      </w:r>
      <w:r>
        <w:rPr>
          <w:color w:val="555555"/>
        </w:rPr>
        <w:t xml:space="preserve">[… hónapig / a rászorultság fennállásáig]</w:t>
      </w:r>
      <w:r>
        <w:rPr/>
        <w:t xml:space="preserve"> havonta </w:t>
      </w:r>
      <w:r>
        <w:rPr>
          <w:color w:val="555555"/>
        </w:rPr>
        <w:t xml:space="preserve">[…]</w:t>
      </w:r>
      <w:r>
        <w:rPr/>
        <w:t xml:space="preserve"> Ft házastársi tartást fizet (Ptk. 4:29. §).</w:t>
      </w:r>
    </w:p>
    <w:p>
      <w:pPr>
        <w:pStyle w:val="Heading2"/>
      </w:pPr>
      <w:bookmarkStart w:id="7" w:name="_Toc7"/>
      <w:r>
        <w:t>7. Vagyoni kérdések</w:t>
      </w:r>
      <w:bookmarkEnd w:id="7"/>
    </w:p>
    <w:p>
      <w:pPr/>
      <w:r>
        <w:rPr/>
        <w:t xml:space="preserve">A felek a házastársi közös vagyon megosztását </w:t>
      </w:r>
      <w:r>
        <w:rPr>
          <w:color w:val="555555"/>
        </w:rPr>
        <w:t xml:space="preserve">[külön megállapodásban rendezték / a jelen megállapodáson kívül, később rendezik / az alábbiak szerint rendezik: …]</w:t>
      </w:r>
      <w:r>
        <w:rPr/>
        <w:t xml:space="preserve">. [A vagyonmegosztás nem feltétele a közös megegyezéses bontásnak; ha a bíróságtól kéritek a jóváhagyását, ügyvéd bevonása javasolt.]</w:t>
      </w:r>
    </w:p>
    <w:p>
      <w:pPr>
        <w:pStyle w:val="Heading2"/>
      </w:pPr>
      <w:bookmarkStart w:id="8" w:name="_Toc8"/>
      <w:r>
        <w:t>8. Záró rendelkezések</w:t>
      </w:r>
      <w:bookmarkEnd w:id="8"/>
    </w:p>
    <w:p>
      <w:pPr/>
      <w:r>
        <w:rPr/>
        <w:t xml:space="preserve">A felek kérik, hogy a bíróság a jelen megállapodást a házasság felbontása iránti perben egyezségként hagyja jóvá. A felek kijelentik, hogy a megállapodást befolyásmentesen, a gyermek(ek) érdekeit szem előtt tartva kötötték, és tudomásul veszik, hogy a bíróság a gyermeket érintő kérdésekben a gyermek érdekében a megállapodástól eltérhet. A perköltséget </w:t>
      </w:r>
      <w:r>
        <w:rPr>
          <w:color w:val="555555"/>
        </w:rPr>
        <w:t xml:space="preserve">[a felek fele-fele arányban viselik / a felperes viseli]</w:t>
      </w:r>
      <w:r>
        <w:rPr/>
        <w:t xml:space="preserve">.</w:t>
      </w:r>
    </w:p>
    <w:p>
      <w:pPr/>
      <w:r>
        <w:rPr/>
        <w:t xml:space="preserve">Kelt: </w:t>
      </w:r>
      <w:r>
        <w:rPr>
          <w:color w:val="555555"/>
        </w:rPr>
        <w:t xml:space="preserve">[település]</w:t>
      </w:r>
      <w:r>
        <w:rPr/>
        <w:t xml:space="preserve">, </w:t>
      </w:r>
      <w:r>
        <w:rPr>
          <w:color w:val="555555"/>
        </w:rPr>
        <w:t xml:space="preserve">[év. hó. nap.]</w:t>
      </w:r>
    </w:p>
    <w:tbl>
      <w:tblGrid>
        <w:gridCol w:w="4200" w:type="dxa"/>
        <w:gridCol w:w="900" w:type="dxa"/>
        <w:gridCol w:w="4200" w:type="dxa"/>
      </w:tblGrid>
      <w:tblPr>
        <w:tblW w:w="9300" w:type="dxa"/>
        <w:tblLayout w:type="autofit"/>
        <w:tblCellMar>
          <w:top w:w="60" w:type="dxa"/>
          <w:left w:w="60" w:type="dxa"/>
          <w:right w:w="60" w:type="dxa"/>
          <w:bottom w:w="60" w:type="dxa"/>
        </w:tblCellMar>
        <w:tblBorders>
          <w:top w:val="single" w:sz="1" w:color="FFFFFF"/>
          <w:left w:val="single" w:sz="1" w:color="FFFFFF"/>
          <w:right w:val="single" w:sz="1" w:color="FFFFFF"/>
          <w:bottom w:val="single" w:sz="1" w:color="FFFFFF"/>
          <w:insideH w:val="single" w:sz="1" w:color="FFFFFF"/>
          <w:insideV w:val="single" w:sz="1" w:color="FFFFFF"/>
        </w:tblBorders>
      </w:tblPr>
      <w:tr>
        <w:trPr>
          <w:trHeight w:val="700" w:hRule="atLeast"/>
        </w:trPr>
        <w:tc>
          <w:tcPr>
            <w:tcW w:w="4200" w:type="dxa"/>
            <w:noWrap/>
          </w:tcPr>
          <w:p/>
        </w:tc>
        <w:tc>
          <w:tcPr>
            <w:tcW w:w="900" w:type="dxa"/>
            <w:noWrap/>
          </w:tcPr>
          <w:p/>
        </w:tc>
        <w:tc>
          <w:tcPr>
            <w:tcW w:w="4200" w:type="dxa"/>
            <w:noWrap/>
          </w:tcPr>
          <w:p/>
        </w:tc>
      </w:tr>
      <w:tr>
        <w:trPr/>
        <w:tc>
          <w:tcPr>
            <w:tcW w:w="4200" w:type="dxa"/>
            <w:tcBorders>
              <w:top w:val="single" w:sz="8" w:color="333333"/>
            </w:tcBorders>
            <w:noWrap/>
          </w:tcPr>
          <w:p>
            <w:pPr>
              <w:jc w:val="center"/>
              <w:spacing w:before="60" w:after="0"/>
            </w:pPr>
            <w:r>
              <w:rPr>
                <w:sz w:val="20"/>
                <w:szCs w:val="20"/>
              </w:rPr>
              <w:t xml:space="preserve">feleség</w:t>
            </w:r>
          </w:p>
        </w:tc>
        <w:tc>
          <w:tcPr>
            <w:tcW w:w="900" w:type="dxa"/>
            <w:noWrap/>
          </w:tcPr>
          <w:p/>
        </w:tc>
        <w:tc>
          <w:tcPr>
            <w:tcW w:w="4200" w:type="dxa"/>
            <w:tcBorders>
              <w:top w:val="single" w:sz="8" w:color="333333"/>
            </w:tcBorders>
            <w:noWrap/>
          </w:tcPr>
          <w:p>
            <w:pPr>
              <w:jc w:val="center"/>
              <w:spacing w:before="60" w:after="0"/>
            </w:pPr>
            <w:r>
              <w:rPr>
                <w:sz w:val="20"/>
                <w:szCs w:val="20"/>
              </w:rPr>
              <w:t xml:space="preserve">férj</w:t>
            </w:r>
          </w:p>
        </w:tc>
      </w:tr>
    </w:tbl>
    <w:p>
      <w:pPr>
        <w:spacing w:before="280"/>
      </w:pPr>
      <w:r>
        <w:rPr/>
        <w:t xml:space="preserve">Előttünk mint tanúk előtt:</w:t>
      </w:r>
    </w:p>
    <w:tbl>
      <w:tblGrid>
        <w:gridCol w:w="4200" w:type="dxa"/>
        <w:gridCol w:w="900" w:type="dxa"/>
        <w:gridCol w:w="4200" w:type="dxa"/>
      </w:tblGrid>
      <w:tblPr>
        <w:tblW w:w="9300" w:type="dxa"/>
        <w:tblLayout w:type="autofit"/>
        <w:tblCellMar>
          <w:top w:w="60" w:type="dxa"/>
          <w:left w:w="60" w:type="dxa"/>
          <w:right w:w="60" w:type="dxa"/>
          <w:bottom w:w="60" w:type="dxa"/>
        </w:tblCellMar>
        <w:tblBorders>
          <w:top w:val="single" w:sz="1" w:color="FFFFFF"/>
          <w:left w:val="single" w:sz="1" w:color="FFFFFF"/>
          <w:right w:val="single" w:sz="1" w:color="FFFFFF"/>
          <w:bottom w:val="single" w:sz="1" w:color="FFFFFF"/>
          <w:insideH w:val="single" w:sz="1" w:color="FFFFFF"/>
          <w:insideV w:val="single" w:sz="1" w:color="FFFFFF"/>
        </w:tblBorders>
      </w:tblPr>
      <w:tr>
        <w:trPr>
          <w:trHeight w:val="700" w:hRule="atLeast"/>
        </w:trPr>
        <w:tc>
          <w:tcPr>
            <w:tcW w:w="4200" w:type="dxa"/>
            <w:noWrap/>
          </w:tcPr>
          <w:p/>
        </w:tc>
        <w:tc>
          <w:tcPr>
            <w:tcW w:w="900" w:type="dxa"/>
            <w:noWrap/>
          </w:tcPr>
          <w:p/>
        </w:tc>
        <w:tc>
          <w:tcPr>
            <w:tcW w:w="4200" w:type="dxa"/>
            <w:noWrap/>
          </w:tcPr>
          <w:p/>
        </w:tc>
      </w:tr>
      <w:tr>
        <w:trPr/>
        <w:tc>
          <w:tcPr>
            <w:tcW w:w="4200" w:type="dxa"/>
            <w:tcBorders>
              <w:top w:val="single" w:sz="8" w:color="333333"/>
            </w:tcBorders>
            <w:noWrap/>
          </w:tcPr>
          <w:p>
            <w:pPr>
              <w:jc w:val="center"/>
              <w:spacing w:before="60" w:after="0"/>
            </w:pPr>
            <w:r>
              <w:rPr>
                <w:sz w:val="20"/>
                <w:szCs w:val="20"/>
              </w:rPr>
              <w:t xml:space="preserve">1. tanú (név, lakcím, aláírás)</w:t>
            </w:r>
          </w:p>
        </w:tc>
        <w:tc>
          <w:tcPr>
            <w:tcW w:w="900" w:type="dxa"/>
            <w:noWrap/>
          </w:tcPr>
          <w:p/>
        </w:tc>
        <w:tc>
          <w:tcPr>
            <w:tcW w:w="4200" w:type="dxa"/>
            <w:tcBorders>
              <w:top w:val="single" w:sz="8" w:color="333333"/>
            </w:tcBorders>
            <w:noWrap/>
          </w:tcPr>
          <w:p>
            <w:pPr>
              <w:jc w:val="center"/>
              <w:spacing w:before="60" w:after="0"/>
            </w:pPr>
            <w:r>
              <w:rPr>
                <w:sz w:val="20"/>
                <w:szCs w:val="20"/>
              </w:rPr>
              <w:t xml:space="preserve">2. tanú (név, lakcím, aláírás)</w:t>
            </w:r>
          </w:p>
        </w:tc>
      </w:tr>
    </w:tbl>
    <w:sectPr>
      <w:footerReference w:type="default" r:id="rId7"/>
      <w:pgSz w:orient="portrait" w:w="11905.511811023622" w:h="16837.79527559055"/>
      <w:pgMar w:top="1250" w:right="1300" w:bottom="1250" w:left="13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666666"/>
        <w:sz w:val="16"/>
        <w:szCs w:val="16"/>
      </w:rPr>
      <w:t xml:space="preserve">Minta – Jogi Kisokos (jogikisokos.hu). Tájékoztató jellegű, nem jogi tanácsadás; a szögletes zárójelben álló részeket töltsd ki vagy töröld.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nsid w:val="3D6687D9"/>
    <w:multiLevelType w:val="multilevel"/>
    <w:lvl w:ilvl="0">
      <w:start w:val="1"/>
      <w:numFmt w:val="bullet"/>
      <w:suff w:val="tab"/>
      <w:lvlText w:val="•"/>
      <w:pPr>
        <w:tabs>
          <w:tab w:val="num"/>
        </w:tabs>
        <w:ind w:left="480" w:hanging="300"/>
      </w:pPr>
      <w:rPr>
        <w:rFonts/>
      </w:rPr>
    </w:lvl>
  </w:abstractNum>
  <w:abstractNum w:abstractNumId="5">
    <w:nsid w:val="499C07A2"/>
    <w:multiLevelType w:val="multilevel"/>
    <w:lvl w:ilvl="0">
      <w:start w:val="1"/>
      <w:numFmt w:val="decimal"/>
      <w:suff w:val="tab"/>
      <w:lvlText w:val="%1."/>
      <w:pPr>
        <w:tabs>
          <w:tab w:val="num"/>
        </w:tabs>
        <w:ind w:left="480" w:hanging="300"/>
      </w:pPr>
      <w:rPr>
        <w:rFonts/>
      </w:rPr>
    </w:lvl>
  </w:abstract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  <w:pPr>
      <w:spacing w:after="120" w:line="276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300"/>
    </w:pPr>
    <w:rPr>
      <w:sz w:val="30"/>
      <w:szCs w:val="30"/>
      <w:b w:val="1"/>
      <w:bCs w:val="1"/>
      <w:smallCaps w:val="0"/>
      <w:caps w:val="1"/>
    </w:rPr>
  </w:style>
  <w:style w:type="paragraph" w:styleId="Heading2">
    <w:link w:val="Heading2Char"/>
    <w:name w:val="heading 2"/>
    <w:basedOn w:val="Normal"/>
    <w:pPr>
      <w:keepNext w:val="1"/>
      <w:spacing w:before="260" w:after="10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2026-08-26T11:42:06+02:00</dcterms:created>
  <dcterms:modified xsi:type="dcterms:W3CDTF">2026-08-26T11:42:06+02:00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